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hint="default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hint="default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hint="default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hint="default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hint="default"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hint="default"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hint="default"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hint="default"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44"/>
          <w:lang w:val="zh-CN"/>
        </w:rPr>
      </w:pPr>
      <w:r>
        <w:rPr>
          <w:rFonts w:eastAsia="方正小标宋简体"/>
          <w:sz w:val="48"/>
          <w:lang w:val="zh-CN"/>
        </w:rPr>
        <w:t>天津市群众艺术馆</w:t>
      </w: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  <w:r>
        <w:rPr>
          <w:rFonts w:eastAsia="方正小标宋简体"/>
          <w:sz w:val="48"/>
          <w:lang w:val="zh-CN"/>
        </w:rPr>
        <w:t>2025年单位预算</w:t>
      </w: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580" w:lineRule="exact"/>
        <w:jc w:val="both"/>
        <w:rPr>
          <w:rFonts w:hint="default" w:eastAsia="黑体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44"/>
        </w:rPr>
      </w:pPr>
    </w:p>
    <w:p>
      <w:pPr>
        <w:spacing w:line="600" w:lineRule="exact"/>
        <w:jc w:val="center"/>
        <w:rPr>
          <w:rFonts w:hint="default" w:eastAsia="黑体"/>
          <w:kern w:val="2"/>
          <w:sz w:val="44"/>
        </w:rPr>
      </w:pPr>
      <w:r>
        <w:rPr>
          <w:rFonts w:eastAsia="黑体"/>
          <w:kern w:val="2"/>
          <w:sz w:val="44"/>
        </w:rPr>
        <w:t>目   录</w:t>
      </w:r>
    </w:p>
    <w:p>
      <w:pPr>
        <w:keepNext/>
        <w:keepLines/>
        <w:spacing w:line="600" w:lineRule="exact"/>
        <w:jc w:val="center"/>
        <w:rPr>
          <w:rFonts w:hint="default" w:eastAsia="黑体"/>
          <w:kern w:val="2"/>
          <w:sz w:val="30"/>
        </w:rPr>
      </w:pPr>
    </w:p>
    <w:p>
      <w:pPr>
        <w:spacing w:line="600" w:lineRule="exact"/>
        <w:jc w:val="both"/>
        <w:rPr>
          <w:rFonts w:hint="default" w:eastAsia="仿宋_GB2312"/>
          <w:b/>
          <w:kern w:val="2"/>
          <w:sz w:val="30"/>
        </w:rPr>
      </w:pPr>
      <w:r>
        <w:rPr>
          <w:rFonts w:eastAsia="仿宋_GB2312"/>
          <w:b/>
          <w:kern w:val="2"/>
          <w:sz w:val="30"/>
        </w:rPr>
        <w:t>第一部分  概 况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一、主要职责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二、机构设置情况</w:t>
      </w:r>
    </w:p>
    <w:p>
      <w:pPr>
        <w:spacing w:line="600" w:lineRule="exact"/>
        <w:jc w:val="both"/>
        <w:rPr>
          <w:rFonts w:hint="default" w:eastAsia="仿宋_GB2312"/>
          <w:b/>
          <w:kern w:val="2"/>
          <w:sz w:val="30"/>
        </w:rPr>
      </w:pPr>
      <w:r>
        <w:rPr>
          <w:rFonts w:eastAsia="仿宋_GB2312"/>
          <w:b/>
          <w:kern w:val="2"/>
          <w:sz w:val="30"/>
        </w:rPr>
        <w:t>第二部分  2025年单位预算情况说明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一、关于收支总体情况表的说明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二、关于收入总体情况表的说明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三、关于支出总体情况表的说明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四、关于财政拨款收支总体情况表的说明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五、关于一般公共预算支出情况表的说明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六、关于一般公共预算基本支出情况表的说明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七、关于一般公共预算“三公”经费支出情况表的说明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八、关于政府性基金预算支出情况表的说明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九、关于国有资本经营预算支出情况表的说明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十、其他重要事项的情况说明</w:t>
      </w:r>
    </w:p>
    <w:p>
      <w:pPr>
        <w:spacing w:line="600" w:lineRule="exact"/>
        <w:jc w:val="both"/>
        <w:rPr>
          <w:rFonts w:hint="default" w:eastAsia="仿宋_GB2312"/>
          <w:b/>
          <w:kern w:val="2"/>
          <w:sz w:val="30"/>
        </w:rPr>
      </w:pPr>
      <w:r>
        <w:rPr>
          <w:rFonts w:eastAsia="仿宋_GB2312"/>
          <w:b/>
          <w:kern w:val="2"/>
          <w:sz w:val="30"/>
        </w:rPr>
        <w:t>第三部分  名词解释</w:t>
      </w:r>
    </w:p>
    <w:p>
      <w:pPr>
        <w:spacing w:line="600" w:lineRule="exact"/>
        <w:jc w:val="both"/>
        <w:rPr>
          <w:rFonts w:hint="default" w:eastAsia="仿宋_GB2312"/>
          <w:b/>
          <w:kern w:val="2"/>
          <w:sz w:val="30"/>
        </w:rPr>
      </w:pPr>
      <w:r>
        <w:rPr>
          <w:rFonts w:eastAsia="仿宋_GB2312"/>
          <w:b/>
          <w:kern w:val="2"/>
          <w:sz w:val="30"/>
        </w:rPr>
        <w:t>第四部分  2025年单位预算表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一、收支总体情况表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二、收入总体情况表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三、支出总体情况表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四、财政拨款收支总体情况表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五、一般公共预算支出情况表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六、一般公共预算基本支出情况表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七、一般公共预算“三公”经费支出情况表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八、政府性基金预算支出情况表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九、国有资本经营预算支出情况表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十、项目支出表</w:t>
      </w:r>
    </w:p>
    <w:p>
      <w:pPr>
        <w:spacing w:line="600" w:lineRule="exact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十一、关于空表的说明</w:t>
      </w:r>
      <w:r>
        <w:rPr>
          <w:rFonts w:hint="default" w:eastAsia="仿宋_GB2312"/>
          <w:kern w:val="2"/>
          <w:sz w:val="30"/>
        </w:rPr>
        <w:tab/>
      </w: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hint="default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hint="default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方正小标宋简体"/>
          <w:b/>
          <w:kern w:val="44"/>
          <w:sz w:val="44"/>
        </w:rPr>
      </w:pPr>
    </w:p>
    <w:p>
      <w:pPr>
        <w:spacing w:line="580" w:lineRule="exact"/>
        <w:jc w:val="center"/>
        <w:rPr>
          <w:rFonts w:hint="default" w:eastAsia="黑体"/>
          <w:kern w:val="2"/>
          <w:sz w:val="44"/>
          <w:lang w:val="zh-CN"/>
        </w:rPr>
      </w:pPr>
      <w:r>
        <w:rPr>
          <w:rFonts w:eastAsia="方正小标宋简体"/>
          <w:b/>
          <w:kern w:val="44"/>
          <w:sz w:val="44"/>
        </w:rPr>
        <w:t>第一部分  概 况</w:t>
      </w:r>
    </w:p>
    <w:p>
      <w:pPr>
        <w:spacing w:line="580" w:lineRule="exact"/>
        <w:ind w:firstLine="480"/>
        <w:jc w:val="both"/>
        <w:rPr>
          <w:rFonts w:hint="default" w:eastAsia="Times New Roman"/>
          <w:kern w:val="2"/>
          <w:lang w:val="zh-CN"/>
        </w:rPr>
      </w:pPr>
    </w:p>
    <w:p>
      <w:pPr>
        <w:pStyle w:val="3"/>
        <w:keepNext/>
        <w:keepLines/>
        <w:spacing w:before="260" w:after="260" w:line="600" w:lineRule="exact"/>
        <w:ind w:firstLine="602"/>
        <w:rPr>
          <w:rFonts w:hint="default" w:eastAsia="黑体"/>
          <w:b/>
          <w:sz w:val="30"/>
        </w:rPr>
      </w:pPr>
      <w:r>
        <w:rPr>
          <w:rFonts w:eastAsia="黑体"/>
          <w:b/>
          <w:sz w:val="30"/>
        </w:rPr>
        <w:t>一、主要职责</w:t>
      </w:r>
    </w:p>
    <w:p>
      <w:pPr>
        <w:spacing w:line="580" w:lineRule="exact"/>
        <w:ind w:firstLine="600" w:firstLineChars="200"/>
        <w:rPr>
          <w:rFonts w:hint="default" w:eastAsia="MS Serif"/>
          <w:kern w:val="2"/>
          <w:sz w:val="30"/>
        </w:rPr>
      </w:pPr>
      <w:r>
        <w:rPr>
          <w:rFonts w:eastAsia="仿宋_GB2312"/>
          <w:sz w:val="30"/>
        </w:rPr>
        <w:t>天津市群众艺术馆主要职责是组织群众文化活动、群众文艺创作、群众文化理论研究、国内外民间文艺交流、开展各类艺术培训。</w:t>
      </w:r>
    </w:p>
    <w:p>
      <w:pPr>
        <w:pStyle w:val="3"/>
        <w:keepNext/>
        <w:keepLines/>
        <w:spacing w:before="260" w:after="260" w:line="600" w:lineRule="exact"/>
        <w:ind w:firstLine="602"/>
        <w:rPr>
          <w:rFonts w:hint="default" w:eastAsia="黑体"/>
          <w:b/>
          <w:sz w:val="30"/>
        </w:rPr>
      </w:pPr>
      <w:r>
        <w:rPr>
          <w:rFonts w:eastAsia="黑体"/>
          <w:b/>
          <w:sz w:val="30"/>
        </w:rPr>
        <w:t>二、机构设置情况</w:t>
      </w:r>
    </w:p>
    <w:p>
      <w:pPr>
        <w:spacing w:line="600" w:lineRule="exact"/>
        <w:ind w:firstLine="600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  <w:lang w:val="zh-CN"/>
        </w:rPr>
        <w:t>天津市群众艺术馆</w:t>
      </w:r>
      <w:r>
        <w:rPr>
          <w:rFonts w:eastAsia="仿宋_GB2312"/>
          <w:sz w:val="30"/>
        </w:rPr>
        <w:t>内设</w:t>
      </w:r>
      <w:r>
        <w:rPr>
          <w:rFonts w:eastAsia="仿宋"/>
          <w:sz w:val="30"/>
        </w:rPr>
        <w:t>7</w:t>
      </w:r>
      <w:r>
        <w:rPr>
          <w:rFonts w:eastAsia="仿宋_GB2312"/>
          <w:sz w:val="30"/>
        </w:rPr>
        <w:t>个职能科室，分别为：综合办公室、</w:t>
      </w:r>
      <w:r>
        <w:rPr>
          <w:rFonts w:hint="default" w:eastAsia="仿宋_GB2312"/>
          <w:sz w:val="30"/>
        </w:rPr>
        <w:t xml:space="preserve"> </w:t>
      </w:r>
      <w:r>
        <w:rPr>
          <w:rFonts w:eastAsia="仿宋_GB2312"/>
          <w:sz w:val="30"/>
        </w:rPr>
        <w:t>文艺创作部、培训活动部、调研美影部、数字资源部、计划财务部、公共文化服务中心。</w:t>
      </w:r>
    </w:p>
    <w:p>
      <w:pPr>
        <w:spacing w:line="600" w:lineRule="exact"/>
        <w:jc w:val="both"/>
        <w:rPr>
          <w:rFonts w:hint="default" w:eastAsia="黑体"/>
          <w:kern w:val="2"/>
          <w:sz w:val="44"/>
        </w:rPr>
      </w:pPr>
    </w:p>
    <w:p>
      <w:pPr>
        <w:spacing w:line="600" w:lineRule="exact"/>
        <w:jc w:val="both"/>
        <w:rPr>
          <w:rFonts w:hint="default" w:eastAsia="黑体"/>
          <w:kern w:val="2"/>
          <w:sz w:val="44"/>
        </w:rPr>
      </w:pPr>
    </w:p>
    <w:p>
      <w:pPr>
        <w:spacing w:line="600" w:lineRule="exact"/>
        <w:jc w:val="both"/>
        <w:rPr>
          <w:rFonts w:hint="default" w:eastAsia="黑体"/>
          <w:kern w:val="2"/>
          <w:sz w:val="44"/>
        </w:rPr>
      </w:pPr>
    </w:p>
    <w:p>
      <w:pPr>
        <w:spacing w:line="600" w:lineRule="exact"/>
        <w:jc w:val="both"/>
        <w:rPr>
          <w:rFonts w:hint="default" w:eastAsia="黑体"/>
          <w:kern w:val="2"/>
          <w:sz w:val="44"/>
        </w:rPr>
      </w:pPr>
    </w:p>
    <w:p>
      <w:pPr>
        <w:spacing w:line="600" w:lineRule="exact"/>
        <w:jc w:val="both"/>
        <w:rPr>
          <w:rFonts w:hint="default" w:eastAsia="黑体"/>
          <w:kern w:val="2"/>
          <w:sz w:val="44"/>
        </w:rPr>
      </w:pPr>
    </w:p>
    <w:p>
      <w:pPr>
        <w:spacing w:line="600" w:lineRule="exact"/>
        <w:jc w:val="both"/>
        <w:rPr>
          <w:rFonts w:hint="default" w:eastAsia="黑体"/>
          <w:kern w:val="2"/>
          <w:sz w:val="44"/>
        </w:rPr>
      </w:pPr>
    </w:p>
    <w:p>
      <w:pPr>
        <w:spacing w:line="600" w:lineRule="exact"/>
        <w:jc w:val="both"/>
        <w:rPr>
          <w:rFonts w:hint="default" w:eastAsia="黑体"/>
          <w:kern w:val="2"/>
          <w:sz w:val="44"/>
        </w:rPr>
      </w:pPr>
    </w:p>
    <w:p>
      <w:pPr>
        <w:spacing w:line="360" w:lineRule="atLeast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b/>
          <w:kern w:val="2"/>
          <w:sz w:val="44"/>
        </w:rPr>
      </w:pPr>
      <w:r>
        <w:rPr>
          <w:rFonts w:eastAsia="方正小标宋简体"/>
          <w:b/>
          <w:kern w:val="44"/>
          <w:sz w:val="44"/>
          <w:lang w:val="zh-CN"/>
        </w:rPr>
        <w:br w:type="page"/>
      </w:r>
      <w:r>
        <w:rPr>
          <w:rFonts w:eastAsia="方正小标宋简体"/>
          <w:b/>
          <w:kern w:val="44"/>
          <w:sz w:val="44"/>
          <w:lang w:val="zh-CN"/>
        </w:rPr>
        <w:t xml:space="preserve">第二部分 </w:t>
      </w:r>
      <w:r>
        <w:rPr>
          <w:rFonts w:eastAsia="方正小标宋简体"/>
          <w:b/>
          <w:kern w:val="44"/>
          <w:sz w:val="44"/>
        </w:rPr>
        <w:t xml:space="preserve"> 2025年单位预算情况说明</w:t>
      </w:r>
    </w:p>
    <w:p>
      <w:pPr>
        <w:spacing w:line="580" w:lineRule="exact"/>
        <w:ind w:firstLine="600"/>
        <w:jc w:val="center"/>
        <w:rPr>
          <w:rFonts w:hint="default" w:eastAsia="黑体"/>
          <w:kern w:val="2"/>
          <w:sz w:val="30"/>
        </w:rPr>
      </w:pPr>
    </w:p>
    <w:p>
      <w:pPr>
        <w:pStyle w:val="3"/>
        <w:keepNext/>
        <w:keepLines/>
        <w:spacing w:before="260" w:after="260" w:line="600" w:lineRule="exact"/>
        <w:ind w:firstLine="600"/>
        <w:rPr>
          <w:rFonts w:hint="default" w:eastAsia="黑体"/>
          <w:sz w:val="30"/>
        </w:rPr>
      </w:pPr>
      <w:r>
        <w:rPr>
          <w:rFonts w:eastAsia="黑体"/>
          <w:sz w:val="30"/>
        </w:rPr>
        <w:t>一、关于收支总体情况表的说明</w:t>
      </w:r>
    </w:p>
    <w:p>
      <w:pPr>
        <w:spacing w:line="580" w:lineRule="exact"/>
        <w:ind w:firstLine="600"/>
        <w:jc w:val="both"/>
        <w:rPr>
          <w:rFonts w:hint="default" w:eastAsia="仿宋"/>
          <w:kern w:val="2"/>
          <w:sz w:val="30"/>
          <w:lang w:val="zh-CN"/>
        </w:rPr>
      </w:pPr>
      <w:r>
        <w:rPr>
          <w:rFonts w:eastAsia="仿宋_GB2312"/>
          <w:kern w:val="2"/>
          <w:sz w:val="30"/>
          <w:lang w:val="zh-CN"/>
        </w:rPr>
        <w:t>按照综合预算的原则，天津市群众艺术馆</w:t>
      </w:r>
      <w:r>
        <w:rPr>
          <w:rFonts w:eastAsia="仿宋_GB2312"/>
          <w:kern w:val="2"/>
          <w:sz w:val="30"/>
        </w:rPr>
        <w:t>所有收入和支出均纳入单位预算管理。收入包括：一般公共预算拨款收入</w:t>
      </w:r>
      <w:r>
        <w:rPr>
          <w:rFonts w:eastAsia="仿宋_GB2312"/>
          <w:kern w:val="2"/>
          <w:sz w:val="30"/>
          <w:lang w:val="zh-CN"/>
        </w:rPr>
        <w:t>2,595.8万元</w:t>
      </w:r>
      <w:r>
        <w:rPr>
          <w:rFonts w:eastAsia="仿宋_GB2312"/>
          <w:kern w:val="2"/>
          <w:sz w:val="30"/>
        </w:rPr>
        <w:t>、政府性基金预算拨款收入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、国有资本经营预算拨款收入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、财政专户管理资金收入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、事业收入</w:t>
      </w:r>
      <w:r>
        <w:rPr>
          <w:rFonts w:eastAsia="仿宋_GB2312"/>
          <w:kern w:val="2"/>
          <w:sz w:val="30"/>
          <w:lang w:val="zh-CN"/>
        </w:rPr>
        <w:t>95.0万元</w:t>
      </w:r>
      <w:r>
        <w:rPr>
          <w:rFonts w:eastAsia="仿宋_GB2312"/>
          <w:kern w:val="2"/>
          <w:sz w:val="30"/>
        </w:rPr>
        <w:t>、事业单位经营收入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、上级补助收入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、附属单位上缴收入</w:t>
      </w:r>
      <w:r>
        <w:rPr>
          <w:rFonts w:eastAsia="仿宋_GB2312"/>
          <w:kern w:val="2"/>
          <w:sz w:val="30"/>
          <w:lang w:val="zh-CN"/>
        </w:rPr>
        <w:t>5.0万元</w:t>
      </w:r>
      <w:r>
        <w:rPr>
          <w:rFonts w:eastAsia="仿宋_GB2312"/>
          <w:kern w:val="2"/>
          <w:sz w:val="30"/>
        </w:rPr>
        <w:t>、其他收入</w:t>
      </w:r>
      <w:r>
        <w:rPr>
          <w:rFonts w:eastAsia="仿宋_GB2312"/>
          <w:kern w:val="2"/>
          <w:sz w:val="30"/>
          <w:lang w:val="zh-CN"/>
        </w:rPr>
        <w:t>1.0万元</w:t>
      </w:r>
      <w:r>
        <w:rPr>
          <w:rFonts w:eastAsia="仿宋_GB2312"/>
          <w:kern w:val="2"/>
          <w:sz w:val="30"/>
        </w:rPr>
        <w:t>、上年结转结余</w:t>
      </w:r>
      <w:r>
        <w:rPr>
          <w:rFonts w:eastAsia="仿宋_GB2312"/>
          <w:kern w:val="2"/>
          <w:sz w:val="30"/>
          <w:lang w:val="zh-CN"/>
        </w:rPr>
        <w:t>140.6万元</w:t>
      </w:r>
      <w:r>
        <w:rPr>
          <w:rFonts w:eastAsia="仿宋_GB2312"/>
          <w:kern w:val="2"/>
          <w:sz w:val="30"/>
        </w:rPr>
        <w:t>；支出包括：教育支出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、文化旅游体育与传媒支出</w:t>
      </w:r>
      <w:r>
        <w:rPr>
          <w:rFonts w:eastAsia="仿宋_GB2312"/>
          <w:kern w:val="2"/>
          <w:sz w:val="30"/>
          <w:lang w:val="zh-CN"/>
        </w:rPr>
        <w:t>2,628.3万元</w:t>
      </w:r>
      <w:r>
        <w:rPr>
          <w:rFonts w:eastAsia="仿宋_GB2312"/>
          <w:kern w:val="2"/>
          <w:sz w:val="30"/>
        </w:rPr>
        <w:t>、社会保障和就业支出</w:t>
      </w:r>
      <w:r>
        <w:rPr>
          <w:rFonts w:eastAsia="仿宋_GB2312"/>
          <w:kern w:val="2"/>
          <w:sz w:val="30"/>
          <w:lang w:val="zh-CN"/>
        </w:rPr>
        <w:t>124.4万元</w:t>
      </w:r>
      <w:r>
        <w:rPr>
          <w:rFonts w:eastAsia="仿宋_GB2312"/>
          <w:kern w:val="2"/>
          <w:sz w:val="30"/>
        </w:rPr>
        <w:t>、卫生健康支出</w:t>
      </w:r>
      <w:r>
        <w:rPr>
          <w:rFonts w:eastAsia="仿宋_GB2312"/>
          <w:kern w:val="2"/>
          <w:sz w:val="30"/>
          <w:lang w:val="zh-CN"/>
        </w:rPr>
        <w:t>80.7万元</w:t>
      </w:r>
      <w:r>
        <w:rPr>
          <w:rFonts w:eastAsia="仿宋_GB2312"/>
          <w:kern w:val="2"/>
          <w:sz w:val="30"/>
        </w:rPr>
        <w:t>、债务付息支出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万元，年终结转结余</w:t>
      </w:r>
      <w:r>
        <w:rPr>
          <w:rFonts w:eastAsia="仿宋_GB2312"/>
          <w:kern w:val="2"/>
          <w:sz w:val="30"/>
        </w:rPr>
        <w:t>4.0万元。</w:t>
      </w:r>
      <w:r>
        <w:rPr>
          <w:rFonts w:eastAsia="仿宋_GB2312"/>
          <w:kern w:val="2"/>
          <w:sz w:val="30"/>
          <w:lang w:val="zh-CN"/>
        </w:rPr>
        <w:t>天津市群众艺术馆</w:t>
      </w:r>
      <w:r>
        <w:rPr>
          <w:rFonts w:eastAsia="仿宋_GB2312"/>
          <w:kern w:val="2"/>
          <w:sz w:val="30"/>
        </w:rPr>
        <w:t>2025年收支总预算</w:t>
      </w:r>
      <w:r>
        <w:rPr>
          <w:rFonts w:eastAsia="仿宋_GB2312"/>
          <w:kern w:val="2"/>
          <w:sz w:val="30"/>
          <w:lang w:val="zh-CN"/>
        </w:rPr>
        <w:t>2,837.4万元。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hint="default" w:eastAsia="黑体"/>
          <w:sz w:val="30"/>
        </w:rPr>
      </w:pPr>
      <w:r>
        <w:rPr>
          <w:rFonts w:eastAsia="黑体"/>
          <w:sz w:val="30"/>
        </w:rPr>
        <w:t>二、关于收入总体情况表的说明</w:t>
      </w:r>
    </w:p>
    <w:p>
      <w:pPr>
        <w:spacing w:line="600" w:lineRule="exact"/>
        <w:ind w:firstLine="600"/>
        <w:jc w:val="both"/>
        <w:rPr>
          <w:rFonts w:hint="default" w:eastAsia="MS Serif"/>
          <w:kern w:val="2"/>
          <w:sz w:val="30"/>
        </w:rPr>
      </w:pPr>
      <w:r>
        <w:rPr>
          <w:rFonts w:eastAsia="仿宋_GB2312"/>
          <w:kern w:val="2"/>
          <w:sz w:val="30"/>
          <w:lang w:val="zh-CN"/>
        </w:rPr>
        <w:t>天津市群众艺术馆</w:t>
      </w:r>
      <w:r>
        <w:rPr>
          <w:rFonts w:eastAsia="仿宋_GB2312"/>
          <w:kern w:val="2"/>
          <w:sz w:val="30"/>
        </w:rPr>
        <w:t>2025年单位预算收入</w:t>
      </w:r>
      <w:r>
        <w:rPr>
          <w:rFonts w:eastAsia="仿宋"/>
          <w:kern w:val="2"/>
          <w:sz w:val="30"/>
          <w:lang w:val="zh-CN"/>
        </w:rPr>
        <w:t>2,837.4万元</w:t>
      </w:r>
      <w:r>
        <w:rPr>
          <w:rFonts w:eastAsia="仿宋_GB2312"/>
          <w:sz w:val="30"/>
        </w:rPr>
        <w:t>，与</w:t>
      </w:r>
      <w:r>
        <w:rPr>
          <w:rFonts w:eastAsia="仿宋_GB2312"/>
          <w:kern w:val="2"/>
          <w:sz w:val="30"/>
        </w:rPr>
        <w:t>2024年</w:t>
      </w:r>
      <w:r>
        <w:rPr>
          <w:rFonts w:eastAsia="仿宋_GB2312"/>
          <w:sz w:val="30"/>
        </w:rPr>
        <w:t>预算相比</w:t>
      </w:r>
      <w:r>
        <w:rPr>
          <w:rFonts w:eastAsia="仿宋"/>
          <w:kern w:val="2"/>
          <w:sz w:val="30"/>
        </w:rPr>
        <w:t>减少56.5万</w:t>
      </w:r>
      <w:r>
        <w:rPr>
          <w:rFonts w:eastAsia="仿宋_GB2312"/>
          <w:sz w:val="30"/>
        </w:rPr>
        <w:t>元，主要原因是上年结转结余预算减少。其中：上年结转结余</w:t>
      </w:r>
      <w:r>
        <w:rPr>
          <w:rFonts w:eastAsia="仿宋"/>
          <w:kern w:val="2"/>
          <w:sz w:val="30"/>
          <w:lang w:val="zh-CN"/>
        </w:rPr>
        <w:t>140.6万元</w:t>
      </w:r>
      <w:r>
        <w:rPr>
          <w:rFonts w:eastAsia="仿宋_GB2312"/>
          <w:sz w:val="30"/>
        </w:rPr>
        <w:t>，占</w:t>
      </w:r>
      <w:r>
        <w:rPr>
          <w:rFonts w:eastAsia="仿宋"/>
          <w:kern w:val="2"/>
          <w:sz w:val="30"/>
        </w:rPr>
        <w:t>4.9</w:t>
      </w:r>
      <w:r>
        <w:rPr>
          <w:rFonts w:hint="default"/>
          <w:sz w:val="30"/>
          <w:lang w:val="zh-CN"/>
        </w:rPr>
        <w:t>%</w:t>
      </w:r>
      <w:r>
        <w:rPr>
          <w:rFonts w:eastAsia="仿宋_GB2312"/>
          <w:sz w:val="30"/>
        </w:rPr>
        <w:t>；一般公共预算</w:t>
      </w:r>
      <w:r>
        <w:rPr>
          <w:rFonts w:eastAsia="仿宋"/>
          <w:kern w:val="2"/>
          <w:sz w:val="30"/>
          <w:lang w:val="zh-CN"/>
        </w:rPr>
        <w:t>2,595.8万元</w:t>
      </w:r>
      <w:r>
        <w:rPr>
          <w:rFonts w:eastAsia="仿宋"/>
          <w:kern w:val="2"/>
          <w:sz w:val="30"/>
        </w:rPr>
        <w:t>，占91.5</w:t>
      </w:r>
      <w:r>
        <w:rPr>
          <w:rFonts w:hint="default"/>
          <w:sz w:val="30"/>
          <w:lang w:val="zh-CN"/>
        </w:rPr>
        <w:t>%</w:t>
      </w:r>
      <w:r>
        <w:rPr>
          <w:rFonts w:eastAsia="仿宋"/>
          <w:kern w:val="2"/>
          <w:sz w:val="30"/>
        </w:rPr>
        <w:t>；</w:t>
      </w:r>
      <w:r>
        <w:rPr>
          <w:rFonts w:eastAsia="仿宋_GB2312"/>
          <w:sz w:val="30"/>
        </w:rPr>
        <w:t>政府性基金预算</w:t>
      </w:r>
      <w:r>
        <w:rPr>
          <w:rFonts w:hint="default" w:eastAsia="仿宋"/>
          <w:kern w:val="2"/>
          <w:sz w:val="30"/>
          <w:lang w:val="zh-CN"/>
        </w:rPr>
        <w:t>0.0</w:t>
      </w:r>
      <w:r>
        <w:rPr>
          <w:rFonts w:eastAsia="仿宋"/>
          <w:kern w:val="2"/>
          <w:sz w:val="30"/>
          <w:lang w:val="zh-CN"/>
        </w:rPr>
        <w:t>万元</w:t>
      </w:r>
      <w:r>
        <w:rPr>
          <w:rFonts w:eastAsia="仿宋_GB2312"/>
          <w:sz w:val="30"/>
        </w:rPr>
        <w:t>，占</w:t>
      </w:r>
      <w:r>
        <w:rPr>
          <w:rFonts w:hint="default" w:eastAsia="仿宋"/>
          <w:kern w:val="2"/>
          <w:sz w:val="30"/>
        </w:rPr>
        <w:t>0.0</w:t>
      </w:r>
      <w:r>
        <w:rPr>
          <w:rFonts w:hint="default"/>
          <w:sz w:val="30"/>
          <w:lang w:val="zh-CN"/>
        </w:rPr>
        <w:t>%</w:t>
      </w:r>
      <w:r>
        <w:rPr>
          <w:rFonts w:eastAsia="仿宋"/>
          <w:kern w:val="2"/>
          <w:sz w:val="30"/>
        </w:rPr>
        <w:t>；</w:t>
      </w:r>
      <w:r>
        <w:rPr>
          <w:rFonts w:eastAsia="仿宋_GB2312"/>
          <w:sz w:val="30"/>
        </w:rPr>
        <w:t>国有资本经营预算</w:t>
      </w:r>
      <w:r>
        <w:rPr>
          <w:rFonts w:hint="default" w:eastAsia="仿宋"/>
          <w:kern w:val="2"/>
          <w:sz w:val="30"/>
          <w:lang w:val="zh-CN"/>
        </w:rPr>
        <w:t>0.0</w:t>
      </w:r>
      <w:r>
        <w:rPr>
          <w:rFonts w:eastAsia="仿宋"/>
          <w:kern w:val="2"/>
          <w:sz w:val="30"/>
          <w:lang w:val="zh-CN"/>
        </w:rPr>
        <w:t>万元</w:t>
      </w:r>
      <w:r>
        <w:rPr>
          <w:rFonts w:eastAsia="仿宋_GB2312"/>
          <w:sz w:val="30"/>
        </w:rPr>
        <w:t>，占</w:t>
      </w:r>
      <w:r>
        <w:rPr>
          <w:rFonts w:hint="default" w:eastAsia="仿宋"/>
          <w:kern w:val="2"/>
          <w:sz w:val="30"/>
        </w:rPr>
        <w:t>0.0</w:t>
      </w:r>
      <w:r>
        <w:rPr>
          <w:rFonts w:hint="default"/>
          <w:sz w:val="30"/>
          <w:lang w:val="zh-CN"/>
        </w:rPr>
        <w:t>%</w:t>
      </w:r>
      <w:r>
        <w:rPr>
          <w:rFonts w:eastAsia="仿宋"/>
          <w:kern w:val="2"/>
          <w:sz w:val="30"/>
        </w:rPr>
        <w:t>；</w:t>
      </w:r>
      <w:r>
        <w:rPr>
          <w:rFonts w:eastAsia="仿宋_GB2312"/>
          <w:sz w:val="30"/>
        </w:rPr>
        <w:t>财政专户管理资金</w:t>
      </w:r>
      <w:r>
        <w:rPr>
          <w:rFonts w:hint="default" w:eastAsia="仿宋"/>
          <w:kern w:val="2"/>
          <w:sz w:val="30"/>
          <w:lang w:val="zh-CN"/>
        </w:rPr>
        <w:t>0.0</w:t>
      </w:r>
      <w:r>
        <w:rPr>
          <w:rFonts w:eastAsia="仿宋"/>
          <w:kern w:val="2"/>
          <w:sz w:val="30"/>
          <w:lang w:val="zh-CN"/>
        </w:rPr>
        <w:t>万元</w:t>
      </w:r>
      <w:r>
        <w:rPr>
          <w:rFonts w:eastAsia="仿宋_GB2312"/>
          <w:sz w:val="30"/>
        </w:rPr>
        <w:t>，占</w:t>
      </w:r>
      <w:r>
        <w:rPr>
          <w:rFonts w:hint="default" w:eastAsia="仿宋"/>
          <w:kern w:val="2"/>
          <w:sz w:val="30"/>
        </w:rPr>
        <w:t>0.0</w:t>
      </w:r>
      <w:r>
        <w:rPr>
          <w:rFonts w:hint="default"/>
          <w:sz w:val="30"/>
          <w:lang w:val="zh-CN"/>
        </w:rPr>
        <w:t>%</w:t>
      </w:r>
      <w:r>
        <w:rPr>
          <w:rFonts w:eastAsia="仿宋"/>
          <w:kern w:val="2"/>
          <w:sz w:val="30"/>
        </w:rPr>
        <w:t>；</w:t>
      </w:r>
      <w:r>
        <w:rPr>
          <w:rFonts w:eastAsia="仿宋_GB2312"/>
          <w:sz w:val="30"/>
        </w:rPr>
        <w:t>事业收入</w:t>
      </w:r>
      <w:r>
        <w:rPr>
          <w:rFonts w:eastAsia="仿宋"/>
          <w:kern w:val="2"/>
          <w:sz w:val="30"/>
          <w:lang w:val="zh-CN"/>
        </w:rPr>
        <w:t>95.0万元</w:t>
      </w:r>
      <w:r>
        <w:rPr>
          <w:rFonts w:eastAsia="仿宋_GB2312"/>
          <w:sz w:val="30"/>
        </w:rPr>
        <w:t>，占</w:t>
      </w:r>
      <w:r>
        <w:rPr>
          <w:rFonts w:eastAsia="仿宋"/>
          <w:kern w:val="2"/>
          <w:sz w:val="30"/>
        </w:rPr>
        <w:t>3.</w:t>
      </w:r>
      <w:r>
        <w:rPr>
          <w:rFonts w:hint="default" w:eastAsia="仿宋"/>
          <w:kern w:val="2"/>
          <w:sz w:val="30"/>
        </w:rPr>
        <w:t>3</w:t>
      </w:r>
      <w:r>
        <w:rPr>
          <w:rFonts w:hint="default"/>
          <w:sz w:val="30"/>
          <w:lang w:val="zh-CN"/>
        </w:rPr>
        <w:t>%</w:t>
      </w:r>
      <w:r>
        <w:rPr>
          <w:rFonts w:eastAsia="仿宋"/>
          <w:kern w:val="2"/>
          <w:sz w:val="30"/>
        </w:rPr>
        <w:t>；</w:t>
      </w:r>
      <w:r>
        <w:rPr>
          <w:rFonts w:eastAsia="仿宋_GB2312"/>
          <w:sz w:val="30"/>
        </w:rPr>
        <w:t>事业单位经营收入</w:t>
      </w:r>
      <w:r>
        <w:rPr>
          <w:rFonts w:hint="default" w:eastAsia="仿宋"/>
          <w:kern w:val="2"/>
          <w:sz w:val="30"/>
          <w:lang w:val="zh-CN"/>
        </w:rPr>
        <w:t>0.0</w:t>
      </w:r>
      <w:r>
        <w:rPr>
          <w:rFonts w:eastAsia="仿宋"/>
          <w:kern w:val="2"/>
          <w:sz w:val="30"/>
          <w:lang w:val="zh-CN"/>
        </w:rPr>
        <w:t>万元</w:t>
      </w:r>
      <w:r>
        <w:rPr>
          <w:rFonts w:eastAsia="仿宋_GB2312"/>
          <w:sz w:val="30"/>
        </w:rPr>
        <w:t>，占</w:t>
      </w:r>
      <w:r>
        <w:rPr>
          <w:rFonts w:hint="default" w:eastAsia="仿宋"/>
          <w:kern w:val="2"/>
          <w:sz w:val="30"/>
        </w:rPr>
        <w:t>0.0</w:t>
      </w:r>
      <w:r>
        <w:rPr>
          <w:rFonts w:hint="default"/>
          <w:sz w:val="30"/>
          <w:lang w:val="zh-CN"/>
        </w:rPr>
        <w:t>%</w:t>
      </w:r>
      <w:r>
        <w:rPr>
          <w:rFonts w:eastAsia="仿宋"/>
          <w:kern w:val="2"/>
          <w:sz w:val="30"/>
        </w:rPr>
        <w:t>；</w:t>
      </w:r>
      <w:r>
        <w:rPr>
          <w:rFonts w:eastAsia="仿宋_GB2312"/>
          <w:sz w:val="30"/>
        </w:rPr>
        <w:t>上级补助收入</w:t>
      </w:r>
      <w:r>
        <w:rPr>
          <w:rFonts w:hint="default" w:eastAsia="仿宋"/>
          <w:kern w:val="2"/>
          <w:sz w:val="30"/>
          <w:lang w:val="zh-CN"/>
        </w:rPr>
        <w:t>0.0</w:t>
      </w:r>
      <w:r>
        <w:rPr>
          <w:rFonts w:eastAsia="仿宋"/>
          <w:kern w:val="2"/>
          <w:sz w:val="30"/>
          <w:lang w:val="zh-CN"/>
        </w:rPr>
        <w:t>万元</w:t>
      </w:r>
      <w:r>
        <w:rPr>
          <w:rFonts w:eastAsia="仿宋_GB2312"/>
          <w:sz w:val="30"/>
        </w:rPr>
        <w:t>，占</w:t>
      </w:r>
      <w:r>
        <w:rPr>
          <w:rFonts w:hint="default" w:eastAsia="仿宋"/>
          <w:kern w:val="2"/>
          <w:sz w:val="30"/>
        </w:rPr>
        <w:t>0.0</w:t>
      </w:r>
      <w:r>
        <w:rPr>
          <w:rFonts w:hint="default"/>
          <w:sz w:val="30"/>
          <w:lang w:val="zh-CN"/>
        </w:rPr>
        <w:t>%</w:t>
      </w:r>
      <w:r>
        <w:rPr>
          <w:rFonts w:eastAsia="仿宋"/>
          <w:kern w:val="2"/>
          <w:sz w:val="30"/>
        </w:rPr>
        <w:t>；</w:t>
      </w:r>
      <w:r>
        <w:rPr>
          <w:rFonts w:eastAsia="仿宋_GB2312"/>
          <w:sz w:val="30"/>
        </w:rPr>
        <w:t>附属单位上缴收入</w:t>
      </w:r>
      <w:r>
        <w:rPr>
          <w:rFonts w:eastAsia="仿宋"/>
          <w:kern w:val="2"/>
          <w:sz w:val="30"/>
          <w:lang w:val="zh-CN"/>
        </w:rPr>
        <w:t>5.0万元</w:t>
      </w:r>
      <w:r>
        <w:rPr>
          <w:rFonts w:eastAsia="仿宋_GB2312"/>
          <w:sz w:val="30"/>
        </w:rPr>
        <w:t>，占</w:t>
      </w:r>
      <w:r>
        <w:rPr>
          <w:rFonts w:eastAsia="仿宋"/>
          <w:kern w:val="2"/>
          <w:sz w:val="30"/>
        </w:rPr>
        <w:t>0.2</w:t>
      </w:r>
      <w:r>
        <w:rPr>
          <w:rFonts w:hint="default"/>
          <w:sz w:val="30"/>
          <w:lang w:val="zh-CN"/>
        </w:rPr>
        <w:t>%</w:t>
      </w:r>
      <w:r>
        <w:rPr>
          <w:rFonts w:eastAsia="仿宋"/>
          <w:kern w:val="2"/>
          <w:sz w:val="30"/>
        </w:rPr>
        <w:t>；</w:t>
      </w:r>
      <w:r>
        <w:rPr>
          <w:rFonts w:eastAsia="仿宋_GB2312"/>
          <w:sz w:val="30"/>
        </w:rPr>
        <w:t>其他收入</w:t>
      </w:r>
      <w:r>
        <w:rPr>
          <w:rFonts w:eastAsia="仿宋"/>
          <w:kern w:val="2"/>
          <w:sz w:val="30"/>
          <w:lang w:val="zh-CN"/>
        </w:rPr>
        <w:t>1.0万元</w:t>
      </w:r>
      <w:r>
        <w:rPr>
          <w:rFonts w:eastAsia="仿宋_GB2312"/>
          <w:sz w:val="30"/>
        </w:rPr>
        <w:t>，占</w:t>
      </w:r>
      <w:r>
        <w:rPr>
          <w:rFonts w:hint="default" w:eastAsia="仿宋"/>
          <w:kern w:val="2"/>
          <w:sz w:val="30"/>
        </w:rPr>
        <w:t>0.1</w:t>
      </w:r>
      <w:r>
        <w:rPr>
          <w:rFonts w:hint="default"/>
          <w:sz w:val="30"/>
          <w:lang w:val="zh-CN"/>
        </w:rPr>
        <w:t>%</w:t>
      </w:r>
      <w:r>
        <w:rPr>
          <w:rFonts w:eastAsia="仿宋"/>
          <w:kern w:val="2"/>
          <w:sz w:val="30"/>
        </w:rPr>
        <w:t>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hint="default" w:eastAsia="黑体"/>
          <w:sz w:val="30"/>
        </w:rPr>
      </w:pPr>
      <w:r>
        <w:rPr>
          <w:rFonts w:eastAsia="黑体"/>
          <w:sz w:val="30"/>
        </w:rPr>
        <w:t>三、关于支出总体情况表的说明</w:t>
      </w:r>
    </w:p>
    <w:p>
      <w:pPr>
        <w:spacing w:line="600" w:lineRule="exact"/>
        <w:ind w:firstLine="600"/>
        <w:jc w:val="both"/>
        <w:rPr>
          <w:rFonts w:hint="default" w:eastAsia="MS Serif"/>
          <w:kern w:val="2"/>
          <w:sz w:val="30"/>
        </w:rPr>
      </w:pPr>
      <w:r>
        <w:rPr>
          <w:rFonts w:eastAsia="仿宋_GB2312"/>
          <w:kern w:val="2"/>
          <w:sz w:val="30"/>
          <w:lang w:val="zh-CN"/>
        </w:rPr>
        <w:t>天津市群众艺术馆</w:t>
      </w:r>
      <w:r>
        <w:rPr>
          <w:rFonts w:eastAsia="仿宋_GB2312"/>
          <w:kern w:val="2"/>
          <w:sz w:val="30"/>
        </w:rPr>
        <w:t>2025年支出预算</w:t>
      </w:r>
      <w:r>
        <w:rPr>
          <w:rFonts w:eastAsia="仿宋"/>
          <w:kern w:val="2"/>
          <w:sz w:val="30"/>
          <w:lang w:val="zh-CN"/>
        </w:rPr>
        <w:t>2,833.4万元</w:t>
      </w:r>
      <w:r>
        <w:rPr>
          <w:rFonts w:eastAsia="仿宋_GB2312"/>
          <w:kern w:val="2"/>
          <w:sz w:val="30"/>
        </w:rPr>
        <w:t>，与2024年预算相比</w:t>
      </w:r>
      <w:r>
        <w:rPr>
          <w:rFonts w:eastAsia="仿宋"/>
          <w:kern w:val="2"/>
          <w:sz w:val="30"/>
        </w:rPr>
        <w:t>减少60.5万</w:t>
      </w:r>
      <w:r>
        <w:rPr>
          <w:rFonts w:eastAsia="仿宋_GB2312"/>
          <w:kern w:val="2"/>
          <w:sz w:val="30"/>
        </w:rPr>
        <w:t>元，主要原因是项目经费支出预算减少。其中：基本支出</w:t>
      </w:r>
      <w:r>
        <w:rPr>
          <w:rFonts w:eastAsia="仿宋"/>
          <w:kern w:val="2"/>
          <w:sz w:val="30"/>
        </w:rPr>
        <w:t>1,614.9万元</w:t>
      </w:r>
      <w:r>
        <w:rPr>
          <w:rFonts w:eastAsia="仿宋_GB2312"/>
          <w:kern w:val="2"/>
          <w:sz w:val="30"/>
        </w:rPr>
        <w:t>，占</w:t>
      </w:r>
      <w:r>
        <w:rPr>
          <w:rFonts w:eastAsia="仿宋"/>
          <w:kern w:val="2"/>
          <w:sz w:val="30"/>
        </w:rPr>
        <w:t>57.0</w:t>
      </w:r>
      <w:r>
        <w:rPr>
          <w:rFonts w:hint="default"/>
          <w:sz w:val="30"/>
          <w:lang w:val="zh-CN"/>
        </w:rPr>
        <w:t>%</w:t>
      </w:r>
      <w:r>
        <w:rPr>
          <w:rFonts w:eastAsia="仿宋_GB2312"/>
          <w:kern w:val="2"/>
          <w:sz w:val="30"/>
        </w:rPr>
        <w:t>；项目支出</w:t>
      </w:r>
      <w:r>
        <w:rPr>
          <w:rFonts w:eastAsia="仿宋"/>
          <w:kern w:val="2"/>
          <w:sz w:val="30"/>
        </w:rPr>
        <w:t>1,218.5万元</w:t>
      </w:r>
      <w:r>
        <w:rPr>
          <w:rFonts w:eastAsia="仿宋_GB2312"/>
          <w:kern w:val="2"/>
          <w:sz w:val="30"/>
        </w:rPr>
        <w:t>，占</w:t>
      </w:r>
      <w:r>
        <w:rPr>
          <w:rFonts w:eastAsia="仿宋"/>
          <w:kern w:val="2"/>
          <w:sz w:val="30"/>
        </w:rPr>
        <w:t>43.0</w:t>
      </w:r>
      <w:r>
        <w:rPr>
          <w:rFonts w:hint="default"/>
          <w:sz w:val="30"/>
          <w:lang w:val="zh-CN"/>
        </w:rPr>
        <w:t>%</w:t>
      </w:r>
      <w:r>
        <w:rPr>
          <w:rFonts w:eastAsia="仿宋_GB2312"/>
          <w:kern w:val="2"/>
          <w:sz w:val="30"/>
        </w:rPr>
        <w:t>；事业单位经营支出</w:t>
      </w:r>
      <w:r>
        <w:rPr>
          <w:rFonts w:hint="default" w:eastAsia="仿宋"/>
          <w:kern w:val="2"/>
          <w:sz w:val="30"/>
        </w:rPr>
        <w:t>0.0</w:t>
      </w:r>
      <w:r>
        <w:rPr>
          <w:rFonts w:eastAsia="仿宋"/>
          <w:kern w:val="2"/>
          <w:sz w:val="30"/>
        </w:rPr>
        <w:t>万元</w:t>
      </w:r>
      <w:r>
        <w:rPr>
          <w:rFonts w:eastAsia="仿宋_GB2312"/>
          <w:kern w:val="2"/>
          <w:sz w:val="30"/>
        </w:rPr>
        <w:t>，占</w:t>
      </w:r>
      <w:r>
        <w:rPr>
          <w:rFonts w:hint="default" w:eastAsia="仿宋"/>
          <w:kern w:val="2"/>
          <w:sz w:val="30"/>
        </w:rPr>
        <w:t>0.0</w:t>
      </w:r>
      <w:r>
        <w:rPr>
          <w:rFonts w:hint="default"/>
          <w:sz w:val="30"/>
          <w:lang w:val="zh-CN"/>
        </w:rPr>
        <w:t>%</w:t>
      </w:r>
      <w:r>
        <w:rPr>
          <w:rFonts w:eastAsia="仿宋_GB2312"/>
          <w:kern w:val="2"/>
          <w:sz w:val="30"/>
        </w:rPr>
        <w:t>；上缴上级支出</w:t>
      </w:r>
      <w:r>
        <w:rPr>
          <w:rFonts w:hint="default" w:eastAsia="仿宋"/>
          <w:kern w:val="2"/>
          <w:sz w:val="30"/>
        </w:rPr>
        <w:t>0.0</w:t>
      </w:r>
      <w:r>
        <w:rPr>
          <w:rFonts w:eastAsia="仿宋"/>
          <w:kern w:val="2"/>
          <w:sz w:val="30"/>
        </w:rPr>
        <w:t>万元</w:t>
      </w:r>
      <w:r>
        <w:rPr>
          <w:rFonts w:eastAsia="仿宋_GB2312"/>
          <w:kern w:val="2"/>
          <w:sz w:val="30"/>
        </w:rPr>
        <w:t>，占</w:t>
      </w:r>
      <w:r>
        <w:rPr>
          <w:rFonts w:hint="default" w:eastAsia="仿宋"/>
          <w:kern w:val="2"/>
          <w:sz w:val="30"/>
        </w:rPr>
        <w:t>0.0</w:t>
      </w:r>
      <w:r>
        <w:rPr>
          <w:rFonts w:hint="default"/>
          <w:sz w:val="30"/>
          <w:lang w:val="zh-CN"/>
        </w:rPr>
        <w:t>%</w:t>
      </w:r>
      <w:r>
        <w:rPr>
          <w:rFonts w:eastAsia="仿宋_GB2312"/>
          <w:kern w:val="2"/>
          <w:sz w:val="30"/>
        </w:rPr>
        <w:t>；对附属单位补助支出</w:t>
      </w:r>
      <w:r>
        <w:rPr>
          <w:rFonts w:hint="default" w:eastAsia="仿宋"/>
          <w:kern w:val="2"/>
          <w:sz w:val="30"/>
        </w:rPr>
        <w:t>0.0</w:t>
      </w:r>
      <w:r>
        <w:rPr>
          <w:rFonts w:eastAsia="仿宋"/>
          <w:kern w:val="2"/>
          <w:sz w:val="30"/>
        </w:rPr>
        <w:t>万元</w:t>
      </w:r>
      <w:r>
        <w:rPr>
          <w:rFonts w:eastAsia="仿宋_GB2312"/>
          <w:kern w:val="2"/>
          <w:sz w:val="30"/>
        </w:rPr>
        <w:t>，占</w:t>
      </w:r>
      <w:r>
        <w:rPr>
          <w:rFonts w:hint="default" w:eastAsia="仿宋"/>
          <w:kern w:val="2"/>
          <w:sz w:val="30"/>
        </w:rPr>
        <w:t>0.0</w:t>
      </w:r>
      <w:r>
        <w:rPr>
          <w:rFonts w:hint="default"/>
          <w:sz w:val="30"/>
          <w:lang w:val="zh-CN"/>
        </w:rPr>
        <w:t>%</w:t>
      </w:r>
      <w:r>
        <w:rPr>
          <w:rFonts w:eastAsia="仿宋_GB2312"/>
          <w:kern w:val="2"/>
          <w:sz w:val="30"/>
        </w:rPr>
        <w:t>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hint="default" w:eastAsia="黑体"/>
          <w:sz w:val="30"/>
        </w:rPr>
      </w:pPr>
      <w:r>
        <w:rPr>
          <w:rFonts w:eastAsia="黑体"/>
          <w:sz w:val="30"/>
        </w:rPr>
        <w:t>四、关于财政拨款收支总体情况表的说明</w:t>
      </w:r>
    </w:p>
    <w:p>
      <w:pPr>
        <w:spacing w:line="580" w:lineRule="exact"/>
        <w:ind w:firstLine="600"/>
        <w:jc w:val="both"/>
        <w:rPr>
          <w:rFonts w:hint="default" w:eastAsia="Times New Roman"/>
          <w:kern w:val="2"/>
          <w:sz w:val="44"/>
          <w:lang w:val="zh-CN"/>
        </w:rPr>
      </w:pPr>
      <w:r>
        <w:rPr>
          <w:rFonts w:eastAsia="仿宋_GB2312"/>
          <w:kern w:val="2"/>
          <w:sz w:val="30"/>
          <w:lang w:val="zh-CN"/>
        </w:rPr>
        <w:t>天津市群众艺术馆</w:t>
      </w:r>
      <w:r>
        <w:rPr>
          <w:rFonts w:eastAsia="仿宋_GB2312"/>
          <w:kern w:val="2"/>
          <w:sz w:val="30"/>
        </w:rPr>
        <w:t>2025年财政拨款收入预算</w:t>
      </w:r>
      <w:r>
        <w:rPr>
          <w:rFonts w:eastAsia="仿宋_GB2312"/>
          <w:kern w:val="2"/>
          <w:sz w:val="30"/>
          <w:lang w:val="zh-CN"/>
        </w:rPr>
        <w:t>2,595.8万元</w:t>
      </w:r>
      <w:r>
        <w:rPr>
          <w:rFonts w:eastAsia="仿宋_GB2312"/>
          <w:kern w:val="2"/>
          <w:sz w:val="30"/>
        </w:rPr>
        <w:t>，与2024年预算相比</w:t>
      </w:r>
      <w:r>
        <w:rPr>
          <w:rFonts w:eastAsia="仿宋"/>
          <w:kern w:val="2"/>
          <w:sz w:val="30"/>
        </w:rPr>
        <w:t>减少84.6万</w:t>
      </w:r>
      <w:r>
        <w:rPr>
          <w:rFonts w:eastAsia="仿宋_GB2312"/>
          <w:kern w:val="2"/>
          <w:sz w:val="30"/>
        </w:rPr>
        <w:t>元，主要原因是一般公共预算财政拨款收入和上年结转结余减少。收入包括：一般公共预算拨款收入</w:t>
      </w:r>
      <w:r>
        <w:rPr>
          <w:rFonts w:eastAsia="仿宋_GB2312"/>
          <w:kern w:val="2"/>
          <w:sz w:val="30"/>
          <w:lang w:val="zh-CN"/>
        </w:rPr>
        <w:t>2,595.8万元</w:t>
      </w:r>
      <w:r>
        <w:rPr>
          <w:rFonts w:eastAsia="仿宋_GB2312"/>
          <w:kern w:val="2"/>
          <w:sz w:val="30"/>
        </w:rPr>
        <w:t>、政府性基金预算拨款收入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、国有资本经营预算拨款收入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、上年财政结转结余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。2025年财政拨款支出预算</w:t>
      </w:r>
      <w:r>
        <w:rPr>
          <w:rFonts w:eastAsia="仿宋_GB2312"/>
          <w:kern w:val="2"/>
          <w:sz w:val="30"/>
          <w:lang w:val="zh-CN"/>
        </w:rPr>
        <w:t>2,595.8万元</w:t>
      </w:r>
      <w:r>
        <w:rPr>
          <w:rFonts w:eastAsia="仿宋_GB2312"/>
          <w:kern w:val="2"/>
          <w:sz w:val="30"/>
        </w:rPr>
        <w:t>，与2024年预算相比</w:t>
      </w:r>
      <w:r>
        <w:rPr>
          <w:rFonts w:eastAsia="仿宋"/>
          <w:kern w:val="2"/>
          <w:sz w:val="30"/>
        </w:rPr>
        <w:t>减少84.6万</w:t>
      </w:r>
      <w:r>
        <w:rPr>
          <w:rFonts w:eastAsia="仿宋_GB2312"/>
          <w:kern w:val="2"/>
          <w:sz w:val="30"/>
        </w:rPr>
        <w:t>元，主要原因是一般公共预算财政拨款收入和上年结转结余减少，支出相应减少。支出包括：教育支出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、文化旅游体育与传媒支出</w:t>
      </w:r>
      <w:r>
        <w:rPr>
          <w:rFonts w:eastAsia="仿宋_GB2312"/>
          <w:kern w:val="2"/>
          <w:sz w:val="30"/>
          <w:lang w:val="zh-CN"/>
        </w:rPr>
        <w:t>2,390.7万元</w:t>
      </w:r>
      <w:r>
        <w:rPr>
          <w:rFonts w:eastAsia="仿宋_GB2312"/>
          <w:kern w:val="2"/>
          <w:sz w:val="30"/>
        </w:rPr>
        <w:t>、社会保障和就业支出</w:t>
      </w:r>
      <w:r>
        <w:rPr>
          <w:rFonts w:eastAsia="仿宋_GB2312"/>
          <w:kern w:val="2"/>
          <w:sz w:val="30"/>
          <w:lang w:val="zh-CN"/>
        </w:rPr>
        <w:t>124.4万元</w:t>
      </w:r>
      <w:r>
        <w:rPr>
          <w:rFonts w:eastAsia="仿宋_GB2312"/>
          <w:kern w:val="2"/>
          <w:sz w:val="30"/>
        </w:rPr>
        <w:t>、卫生健康支出</w:t>
      </w:r>
      <w:r>
        <w:rPr>
          <w:rFonts w:eastAsia="仿宋_GB2312"/>
          <w:kern w:val="2"/>
          <w:sz w:val="30"/>
          <w:lang w:val="zh-CN"/>
        </w:rPr>
        <w:t>80.7万元</w:t>
      </w:r>
      <w:r>
        <w:rPr>
          <w:rFonts w:eastAsia="仿宋_GB2312"/>
          <w:kern w:val="2"/>
          <w:sz w:val="30"/>
        </w:rPr>
        <w:t>、债务付息支出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hint="default" w:eastAsia="黑体"/>
          <w:sz w:val="30"/>
        </w:rPr>
      </w:pPr>
      <w:r>
        <w:rPr>
          <w:rFonts w:eastAsia="黑体"/>
          <w:sz w:val="30"/>
        </w:rPr>
        <w:t>五、关于一般公共预算支出情况表的说明</w:t>
      </w:r>
    </w:p>
    <w:p>
      <w:pPr>
        <w:spacing w:line="600" w:lineRule="exact"/>
        <w:ind w:firstLine="600"/>
        <w:jc w:val="both"/>
        <w:rPr>
          <w:rFonts w:hint="default" w:eastAsia="楷体"/>
          <w:b/>
          <w:kern w:val="2"/>
          <w:sz w:val="30"/>
        </w:rPr>
      </w:pPr>
      <w:r>
        <w:rPr>
          <w:rFonts w:eastAsia="楷体"/>
          <w:b/>
          <w:kern w:val="2"/>
          <w:sz w:val="30"/>
        </w:rPr>
        <w:t xml:space="preserve">（一）总体情况。  </w:t>
      </w:r>
    </w:p>
    <w:p>
      <w:pPr>
        <w:spacing w:line="600" w:lineRule="exact"/>
        <w:ind w:firstLine="600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  <w:lang w:val="zh-CN"/>
        </w:rPr>
        <w:t>天津市群众艺术馆</w:t>
      </w:r>
      <w:r>
        <w:rPr>
          <w:rFonts w:eastAsia="仿宋_GB2312"/>
          <w:kern w:val="2"/>
          <w:sz w:val="30"/>
        </w:rPr>
        <w:t>2025年一般公共预算支出</w:t>
      </w:r>
      <w:r>
        <w:rPr>
          <w:rFonts w:eastAsia="仿宋"/>
          <w:kern w:val="2"/>
          <w:sz w:val="30"/>
          <w:lang w:val="zh-CN"/>
        </w:rPr>
        <w:t>2,595.8万元</w:t>
      </w:r>
      <w:r>
        <w:rPr>
          <w:rFonts w:eastAsia="仿宋_GB2312"/>
          <w:kern w:val="2"/>
          <w:sz w:val="30"/>
        </w:rPr>
        <w:t>，与2024年预算相比</w:t>
      </w:r>
      <w:r>
        <w:rPr>
          <w:rFonts w:eastAsia="仿宋"/>
          <w:kern w:val="2"/>
          <w:sz w:val="30"/>
        </w:rPr>
        <w:t>减少84.6万</w:t>
      </w:r>
      <w:r>
        <w:rPr>
          <w:rFonts w:eastAsia="仿宋_GB2312"/>
          <w:kern w:val="2"/>
          <w:sz w:val="30"/>
        </w:rPr>
        <w:t>元，主要原因是一般公共预算财政拨款收入和上年结转结余减少，支出相应减少。</w:t>
      </w:r>
    </w:p>
    <w:p>
      <w:pPr>
        <w:spacing w:line="600" w:lineRule="exact"/>
        <w:ind w:firstLine="600"/>
        <w:jc w:val="both"/>
        <w:rPr>
          <w:rFonts w:hint="default" w:eastAsia="楷体"/>
          <w:b/>
          <w:kern w:val="2"/>
          <w:sz w:val="30"/>
        </w:rPr>
      </w:pPr>
      <w:r>
        <w:rPr>
          <w:rFonts w:eastAsia="楷体"/>
          <w:b/>
          <w:kern w:val="2"/>
          <w:sz w:val="30"/>
        </w:rPr>
        <w:t>（二）具体情况。</w:t>
      </w:r>
    </w:p>
    <w:p>
      <w:pPr>
        <w:spacing w:line="580" w:lineRule="exact"/>
        <w:ind w:firstLine="600"/>
        <w:rPr>
          <w:rFonts w:hint="default" w:eastAsia="仿宋"/>
          <w:sz w:val="30"/>
          <w:lang w:val="zh-CN"/>
        </w:rPr>
      </w:pPr>
      <w:r>
        <w:rPr>
          <w:rFonts w:eastAsia="仿宋"/>
          <w:sz w:val="30"/>
        </w:rPr>
        <w:t>1</w:t>
      </w:r>
      <w:r>
        <w:rPr>
          <w:rFonts w:eastAsia="仿宋"/>
          <w:sz w:val="30"/>
          <w:lang w:val="zh-CN"/>
        </w:rPr>
        <w:t>、“</w:t>
      </w:r>
      <w:r>
        <w:rPr>
          <w:rFonts w:hint="eastAsia" w:eastAsia="仿宋"/>
          <w:sz w:val="30"/>
          <w:lang w:val="zh-CN"/>
        </w:rPr>
        <w:t>文化旅游体育</w:t>
      </w:r>
      <w:bookmarkStart w:id="0" w:name="_GoBack"/>
      <w:bookmarkEnd w:id="0"/>
      <w:r>
        <w:rPr>
          <w:rFonts w:eastAsia="仿宋"/>
          <w:sz w:val="30"/>
          <w:lang w:val="zh-CN"/>
        </w:rPr>
        <w:t>与传媒支出”</w:t>
      </w:r>
      <w:r>
        <w:rPr>
          <w:rFonts w:eastAsia="仿宋"/>
          <w:kern w:val="2"/>
          <w:sz w:val="30"/>
          <w:lang w:val="zh-CN"/>
        </w:rPr>
        <w:t>2,390.7</w:t>
      </w:r>
      <w:r>
        <w:rPr>
          <w:rFonts w:eastAsia="仿宋"/>
          <w:sz w:val="30"/>
          <w:lang w:val="zh-CN"/>
        </w:rPr>
        <w:t>万元，</w:t>
      </w:r>
      <w:r>
        <w:rPr>
          <w:rFonts w:eastAsia="仿宋"/>
          <w:sz w:val="30"/>
        </w:rPr>
        <w:t>与2024年预算相比</w:t>
      </w:r>
      <w:r>
        <w:rPr>
          <w:rFonts w:eastAsia="仿宋"/>
          <w:kern w:val="2"/>
          <w:sz w:val="30"/>
        </w:rPr>
        <w:t>减少72.7万</w:t>
      </w:r>
      <w:r>
        <w:rPr>
          <w:rFonts w:eastAsia="仿宋"/>
          <w:sz w:val="30"/>
          <w:lang w:val="zh-CN"/>
        </w:rPr>
        <w:t>元</w:t>
      </w:r>
      <w:r>
        <w:rPr>
          <w:rFonts w:eastAsia="仿宋"/>
          <w:sz w:val="30"/>
        </w:rPr>
        <w:t>，主要原因是</w:t>
      </w:r>
      <w:r>
        <w:rPr>
          <w:rFonts w:eastAsia="仿宋_GB2312"/>
          <w:kern w:val="2"/>
          <w:sz w:val="30"/>
        </w:rPr>
        <w:t>一般公共预算财政拨款收入和上年结转结余减少，支出相应减少</w:t>
      </w:r>
      <w:r>
        <w:rPr>
          <w:rFonts w:eastAsia="仿宋"/>
          <w:sz w:val="30"/>
        </w:rPr>
        <w:t>，</w:t>
      </w:r>
      <w:r>
        <w:rPr>
          <w:rFonts w:eastAsia="仿宋"/>
          <w:sz w:val="30"/>
          <w:lang w:val="zh-CN"/>
        </w:rPr>
        <w:t>其中：</w:t>
      </w:r>
    </w:p>
    <w:p>
      <w:pPr>
        <w:keepNext/>
        <w:keepLines/>
        <w:spacing w:line="580" w:lineRule="exact"/>
        <w:ind w:firstLine="601"/>
        <w:rPr>
          <w:rFonts w:hint="default" w:eastAsia="仿宋"/>
          <w:sz w:val="30"/>
          <w:lang w:val="zh-CN"/>
        </w:rPr>
      </w:pPr>
      <w:r>
        <w:rPr>
          <w:rFonts w:eastAsia="仿宋"/>
          <w:sz w:val="30"/>
          <w:lang w:val="zh-CN"/>
        </w:rPr>
        <w:t>“文化和旅游”</w:t>
      </w:r>
      <w:r>
        <w:rPr>
          <w:rFonts w:eastAsia="仿宋"/>
          <w:kern w:val="2"/>
          <w:sz w:val="30"/>
          <w:lang w:val="zh-CN"/>
        </w:rPr>
        <w:t>2,390.7</w:t>
      </w:r>
      <w:r>
        <w:rPr>
          <w:rFonts w:eastAsia="仿宋"/>
          <w:sz w:val="30"/>
          <w:lang w:val="zh-CN"/>
        </w:rPr>
        <w:t>万元，包括:</w:t>
      </w:r>
      <w:r>
        <w:rPr>
          <w:rFonts w:eastAsia="仿宋"/>
          <w:sz w:val="30"/>
        </w:rPr>
        <w:t>“群众文化”2,390.7万元，主要用于：本单位的人员、公用支出和项目支出。</w:t>
      </w:r>
    </w:p>
    <w:p>
      <w:pPr>
        <w:spacing w:line="580" w:lineRule="exact"/>
        <w:ind w:firstLine="600"/>
        <w:rPr>
          <w:rFonts w:hint="default" w:eastAsia="仿宋"/>
          <w:sz w:val="30"/>
        </w:rPr>
      </w:pPr>
      <w:r>
        <w:rPr>
          <w:rFonts w:eastAsia="仿宋"/>
          <w:sz w:val="30"/>
        </w:rPr>
        <w:t>2</w:t>
      </w:r>
      <w:r>
        <w:rPr>
          <w:rFonts w:eastAsia="仿宋"/>
          <w:sz w:val="30"/>
          <w:lang w:val="zh-CN"/>
        </w:rPr>
        <w:t>、“社会保障和就业支出”</w:t>
      </w:r>
      <w:r>
        <w:rPr>
          <w:rFonts w:eastAsia="仿宋"/>
          <w:kern w:val="2"/>
          <w:sz w:val="30"/>
          <w:lang w:val="zh-CN"/>
        </w:rPr>
        <w:t>124.4</w:t>
      </w:r>
      <w:r>
        <w:rPr>
          <w:rFonts w:eastAsia="仿宋"/>
          <w:sz w:val="30"/>
        </w:rPr>
        <w:t>万元，与2024年预算相比</w:t>
      </w:r>
      <w:r>
        <w:rPr>
          <w:rFonts w:eastAsia="仿宋"/>
          <w:kern w:val="2"/>
          <w:sz w:val="30"/>
        </w:rPr>
        <w:t>减少10.0万</w:t>
      </w:r>
      <w:r>
        <w:rPr>
          <w:rFonts w:eastAsia="仿宋"/>
          <w:sz w:val="30"/>
          <w:lang w:val="zh-CN"/>
        </w:rPr>
        <w:t>元</w:t>
      </w:r>
      <w:r>
        <w:rPr>
          <w:rFonts w:eastAsia="仿宋"/>
          <w:sz w:val="30"/>
        </w:rPr>
        <w:t>，主要原因是</w:t>
      </w:r>
      <w:r>
        <w:rPr>
          <w:rFonts w:eastAsia="仿宋_GB2312"/>
          <w:kern w:val="2"/>
          <w:sz w:val="30"/>
          <w:lang w:val="zh-CN"/>
        </w:rPr>
        <w:t>人员减少，单位缴纳基本养老保险缴费和职业年金缴费支出减少</w:t>
      </w:r>
      <w:r>
        <w:rPr>
          <w:rFonts w:eastAsia="仿宋"/>
          <w:sz w:val="30"/>
        </w:rPr>
        <w:t>，其中：</w:t>
      </w:r>
    </w:p>
    <w:p>
      <w:pPr>
        <w:spacing w:line="580" w:lineRule="exact"/>
        <w:ind w:firstLine="600"/>
        <w:jc w:val="both"/>
        <w:rPr>
          <w:rFonts w:hint="default" w:eastAsia="仿宋_GB2312"/>
          <w:kern w:val="2"/>
          <w:sz w:val="30"/>
          <w:lang w:val="zh-CN"/>
        </w:rPr>
      </w:pPr>
      <w:r>
        <w:rPr>
          <w:rFonts w:eastAsia="仿宋"/>
          <w:sz w:val="30"/>
          <w:lang w:val="zh-CN"/>
        </w:rPr>
        <w:t>“行政事业单位养老支出”</w:t>
      </w:r>
      <w:r>
        <w:rPr>
          <w:rFonts w:eastAsia="仿宋"/>
          <w:kern w:val="2"/>
          <w:sz w:val="30"/>
          <w:lang w:val="zh-CN"/>
        </w:rPr>
        <w:t>124.4</w:t>
      </w:r>
      <w:r>
        <w:rPr>
          <w:rFonts w:eastAsia="仿宋"/>
          <w:sz w:val="30"/>
        </w:rPr>
        <w:t>万元，</w:t>
      </w:r>
      <w:r>
        <w:rPr>
          <w:rFonts w:eastAsia="仿宋"/>
          <w:sz w:val="30"/>
          <w:lang w:val="zh-CN"/>
        </w:rPr>
        <w:t>包括:</w:t>
      </w:r>
      <w:r>
        <w:rPr>
          <w:rFonts w:eastAsia="仿宋"/>
          <w:sz w:val="30"/>
        </w:rPr>
        <w:t>“机关事业单位基本养老保险缴费支出”82.9万元，主要用于：</w:t>
      </w:r>
      <w:r>
        <w:rPr>
          <w:rFonts w:eastAsia="仿宋_GB2312"/>
          <w:kern w:val="2"/>
          <w:sz w:val="30"/>
          <w:lang w:val="zh-CN"/>
        </w:rPr>
        <w:t>缴纳职工基本养老保险</w:t>
      </w:r>
      <w:r>
        <w:rPr>
          <w:rFonts w:eastAsia="仿宋"/>
          <w:sz w:val="30"/>
        </w:rPr>
        <w:t>；“机关事业单位职业年金缴费支出”41.5万元，主要用于：</w:t>
      </w:r>
      <w:r>
        <w:rPr>
          <w:rFonts w:eastAsia="仿宋_GB2312"/>
          <w:kern w:val="2"/>
          <w:sz w:val="30"/>
          <w:lang w:val="zh-CN"/>
        </w:rPr>
        <w:t>缴纳职工职业年金。</w:t>
      </w:r>
    </w:p>
    <w:p>
      <w:pPr>
        <w:spacing w:line="580" w:lineRule="exact"/>
        <w:ind w:firstLine="600"/>
        <w:rPr>
          <w:rFonts w:hint="default" w:eastAsia="仿宋"/>
          <w:sz w:val="30"/>
        </w:rPr>
      </w:pPr>
      <w:r>
        <w:rPr>
          <w:rFonts w:eastAsia="仿宋"/>
          <w:sz w:val="30"/>
        </w:rPr>
        <w:t>3</w:t>
      </w:r>
      <w:r>
        <w:rPr>
          <w:rFonts w:eastAsia="仿宋"/>
          <w:sz w:val="30"/>
          <w:lang w:val="zh-CN"/>
        </w:rPr>
        <w:t>、“卫生健康支出”</w:t>
      </w:r>
      <w:r>
        <w:rPr>
          <w:rFonts w:eastAsia="仿宋"/>
          <w:kern w:val="2"/>
          <w:sz w:val="30"/>
          <w:lang w:val="zh-CN"/>
        </w:rPr>
        <w:t>80.7</w:t>
      </w:r>
      <w:r>
        <w:rPr>
          <w:rFonts w:eastAsia="仿宋"/>
          <w:sz w:val="30"/>
        </w:rPr>
        <w:t>万元，与2024年预算相比</w:t>
      </w:r>
      <w:r>
        <w:rPr>
          <w:rFonts w:eastAsia="仿宋"/>
          <w:kern w:val="2"/>
          <w:sz w:val="30"/>
        </w:rPr>
        <w:t>减少1.9万</w:t>
      </w:r>
      <w:r>
        <w:rPr>
          <w:rFonts w:eastAsia="仿宋"/>
          <w:sz w:val="30"/>
          <w:lang w:val="zh-CN"/>
        </w:rPr>
        <w:t>元</w:t>
      </w:r>
      <w:r>
        <w:rPr>
          <w:rFonts w:eastAsia="仿宋"/>
          <w:sz w:val="30"/>
        </w:rPr>
        <w:t>，主要原因是</w:t>
      </w:r>
      <w:r>
        <w:rPr>
          <w:rFonts w:eastAsia="仿宋_GB2312"/>
          <w:kern w:val="2"/>
          <w:sz w:val="30"/>
          <w:lang w:val="zh-CN"/>
        </w:rPr>
        <w:t>人员减少，单位缴纳医疗保险等支出减少</w:t>
      </w:r>
      <w:r>
        <w:rPr>
          <w:rFonts w:eastAsia="仿宋"/>
          <w:sz w:val="30"/>
        </w:rPr>
        <w:t>，其中：</w:t>
      </w:r>
    </w:p>
    <w:p>
      <w:pPr>
        <w:spacing w:line="580" w:lineRule="exact"/>
        <w:ind w:firstLine="600"/>
        <w:rPr>
          <w:rFonts w:hint="default" w:eastAsia="仿宋"/>
          <w:sz w:val="30"/>
          <w:lang w:val="zh-CN"/>
        </w:rPr>
      </w:pPr>
      <w:r>
        <w:rPr>
          <w:rFonts w:eastAsia="仿宋"/>
          <w:sz w:val="30"/>
          <w:lang w:val="zh-CN"/>
        </w:rPr>
        <w:t>“行政事业单位医疗”</w:t>
      </w:r>
      <w:r>
        <w:rPr>
          <w:rFonts w:eastAsia="仿宋"/>
          <w:kern w:val="2"/>
          <w:sz w:val="30"/>
          <w:lang w:val="zh-CN"/>
        </w:rPr>
        <w:t>80.7</w:t>
      </w:r>
      <w:r>
        <w:rPr>
          <w:rFonts w:eastAsia="仿宋"/>
          <w:sz w:val="30"/>
        </w:rPr>
        <w:t>万元，</w:t>
      </w:r>
      <w:r>
        <w:rPr>
          <w:rFonts w:eastAsia="仿宋"/>
          <w:sz w:val="30"/>
          <w:lang w:val="zh-CN"/>
        </w:rPr>
        <w:t>包括:</w:t>
      </w:r>
      <w:r>
        <w:rPr>
          <w:rFonts w:eastAsia="仿宋"/>
          <w:sz w:val="30"/>
        </w:rPr>
        <w:t>“事业单位医疗”56.4万元，主要用于：</w:t>
      </w:r>
      <w:r>
        <w:rPr>
          <w:rFonts w:eastAsia="仿宋_GB2312"/>
          <w:kern w:val="2"/>
          <w:sz w:val="30"/>
          <w:lang w:val="zh-CN"/>
        </w:rPr>
        <w:t>缴纳职工医疗保险</w:t>
      </w:r>
      <w:r>
        <w:rPr>
          <w:rFonts w:eastAsia="仿宋"/>
          <w:sz w:val="30"/>
        </w:rPr>
        <w:t>；“其他行政事业单位医疗支出”24.3万元，主要用于：</w:t>
      </w:r>
      <w:r>
        <w:rPr>
          <w:rFonts w:eastAsia="仿宋_GB2312"/>
          <w:kern w:val="2"/>
          <w:sz w:val="30"/>
          <w:lang w:val="zh-CN"/>
        </w:rPr>
        <w:t>职工的医疗费支出。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hint="default" w:eastAsia="黑体"/>
          <w:sz w:val="30"/>
        </w:rPr>
      </w:pPr>
      <w:r>
        <w:rPr>
          <w:rFonts w:eastAsia="黑体"/>
          <w:sz w:val="30"/>
        </w:rPr>
        <w:t>六、关于一般公共预算基本支出情况表的说明</w:t>
      </w:r>
    </w:p>
    <w:p>
      <w:pPr>
        <w:spacing w:line="600" w:lineRule="exact"/>
        <w:ind w:firstLine="600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  <w:lang w:val="zh-CN"/>
        </w:rPr>
        <w:t>天津市群众艺术馆</w:t>
      </w:r>
      <w:r>
        <w:rPr>
          <w:rFonts w:eastAsia="仿宋_GB2312"/>
          <w:kern w:val="2"/>
          <w:sz w:val="30"/>
        </w:rPr>
        <w:t>一般公共预算基本支出</w:t>
      </w:r>
      <w:r>
        <w:rPr>
          <w:rFonts w:eastAsia="仿宋"/>
          <w:kern w:val="2"/>
          <w:sz w:val="30"/>
          <w:lang w:val="zh-CN"/>
        </w:rPr>
        <w:t>1,487.3万元</w:t>
      </w:r>
      <w:r>
        <w:rPr>
          <w:rFonts w:eastAsia="仿宋_GB2312"/>
          <w:kern w:val="2"/>
          <w:sz w:val="30"/>
        </w:rPr>
        <w:t>，与2024年预算相比</w:t>
      </w:r>
      <w:r>
        <w:rPr>
          <w:rFonts w:eastAsia="仿宋"/>
          <w:kern w:val="2"/>
          <w:sz w:val="30"/>
        </w:rPr>
        <w:t>减少15.8万</w:t>
      </w:r>
      <w:r>
        <w:rPr>
          <w:rFonts w:eastAsia="仿宋_GB2312"/>
          <w:kern w:val="2"/>
          <w:sz w:val="30"/>
        </w:rPr>
        <w:t>元，主要原因是一般公共预算财政拨款收入减少，支出相应减少。其中：</w:t>
      </w:r>
    </w:p>
    <w:p>
      <w:pPr>
        <w:spacing w:line="600" w:lineRule="exact"/>
        <w:ind w:firstLine="600"/>
        <w:jc w:val="both"/>
        <w:rPr>
          <w:rFonts w:hint="default" w:eastAsia="仿宋_GB2312"/>
          <w:kern w:val="2"/>
          <w:sz w:val="30"/>
          <w:lang w:val="zh-CN"/>
        </w:rPr>
      </w:pPr>
      <w:r>
        <w:rPr>
          <w:rFonts w:eastAsia="仿宋_GB2312"/>
          <w:kern w:val="2"/>
          <w:sz w:val="30"/>
          <w:lang w:val="zh-CN"/>
        </w:rPr>
        <w:t>人员经费1,351.2万元</w:t>
      </w:r>
      <w:r>
        <w:rPr>
          <w:rFonts w:eastAsia="仿宋_GB2312"/>
          <w:kern w:val="2"/>
          <w:sz w:val="30"/>
        </w:rPr>
        <w:t>，主要包括：</w:t>
      </w:r>
    </w:p>
    <w:p>
      <w:pPr>
        <w:spacing w:line="600" w:lineRule="exact"/>
        <w:ind w:firstLine="600"/>
        <w:jc w:val="both"/>
        <w:rPr>
          <w:rFonts w:hint="default" w:eastAsia="仿宋_GB2312"/>
          <w:kern w:val="2"/>
          <w:sz w:val="30"/>
          <w:lang w:val="zh-CN"/>
        </w:rPr>
      </w:pPr>
      <w:r>
        <w:rPr>
          <w:rFonts w:eastAsia="仿宋_GB2312"/>
          <w:kern w:val="2"/>
          <w:sz w:val="30"/>
          <w:lang w:val="zh-CN"/>
        </w:rPr>
        <w:t>“基本工资”241.2万元、“津贴补贴”113.3万元、“绩效工资”332.2万元、“机关事业单位基本养老保险缴费”82.9万元、“职业年金缴费”41.5万元、“职工基本医疗保险缴费”54.4万元、“其他社会保障缴费”3.9万元、“住房公积金”350.3万元、“医疗费”12.1万元、“其他工资福利支出”49.1万元、“离休费”19.5万元、“退休费”36.4万元、“生活补助”0.1万元、“医疗费补助”14.2万元、“奖励金”0.1万元。</w:t>
      </w:r>
    </w:p>
    <w:p>
      <w:pPr>
        <w:spacing w:line="600" w:lineRule="exact"/>
        <w:ind w:firstLine="600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公用经费</w:t>
      </w:r>
      <w:r>
        <w:rPr>
          <w:rFonts w:eastAsia="仿宋_GB2312"/>
          <w:kern w:val="2"/>
          <w:sz w:val="30"/>
          <w:lang w:val="zh-CN"/>
        </w:rPr>
        <w:t>136.1万元</w:t>
      </w:r>
      <w:r>
        <w:rPr>
          <w:rFonts w:eastAsia="仿宋_GB2312"/>
          <w:kern w:val="2"/>
          <w:sz w:val="30"/>
        </w:rPr>
        <w:t>，主要包括：</w:t>
      </w:r>
    </w:p>
    <w:p>
      <w:pPr>
        <w:spacing w:line="600" w:lineRule="exact"/>
        <w:ind w:firstLine="600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  <w:lang w:val="zh-CN"/>
        </w:rPr>
        <w:t>“办公费”11.2万元、“印刷费”0.5万元、“手续费”0.1万元、“水费”0.5万元、“电费”2.5万元、“邮电费”3.0万元、“差旅费”2.7万元、“维修(护)费”6.0万元、“租赁费”4.0万元、“公务接待费”0.2万元、“专用材料费”2.0万元、“劳务费”1.8万元、“委托业务费”25.0万元、“工会经费”10.5万元、“福利费”38.0万元、“公务用车运行维护费”1.8万元、“其他交通费用”3.0万元、“其他商品和服务支出”4.8万元、“办公设备购置”9.9万元、“专用设备购置”8.6万元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hint="default" w:eastAsia="黑体"/>
          <w:sz w:val="30"/>
        </w:rPr>
      </w:pPr>
      <w:r>
        <w:rPr>
          <w:rFonts w:eastAsia="黑体"/>
          <w:sz w:val="30"/>
        </w:rPr>
        <w:t>七、关于一般公共预算“三公”经费支出情况表的说明</w:t>
      </w:r>
    </w:p>
    <w:p>
      <w:pPr>
        <w:spacing w:line="560" w:lineRule="exact"/>
        <w:ind w:firstLine="600"/>
        <w:jc w:val="both"/>
        <w:rPr>
          <w:rFonts w:hint="default" w:eastAsia="MS Serif"/>
          <w:kern w:val="2"/>
          <w:sz w:val="30"/>
        </w:rPr>
      </w:pPr>
      <w:r>
        <w:rPr>
          <w:rFonts w:eastAsia="仿宋_GB2312"/>
          <w:kern w:val="2"/>
          <w:sz w:val="30"/>
        </w:rPr>
        <w:t>2025年一般公共预算“三公”经费安排</w:t>
      </w:r>
      <w:r>
        <w:rPr>
          <w:rFonts w:eastAsia="仿宋"/>
          <w:kern w:val="2"/>
          <w:sz w:val="30"/>
          <w:lang w:val="zh-CN"/>
        </w:rPr>
        <w:t>2.0万元</w:t>
      </w:r>
      <w:r>
        <w:rPr>
          <w:rFonts w:eastAsia="仿宋_GB2312"/>
          <w:kern w:val="2"/>
          <w:sz w:val="30"/>
        </w:rPr>
        <w:t>，与2024年预算相比</w:t>
      </w:r>
      <w:r>
        <w:rPr>
          <w:rFonts w:eastAsia="仿宋"/>
          <w:kern w:val="2"/>
          <w:sz w:val="30"/>
        </w:rPr>
        <w:t>持平</w:t>
      </w:r>
      <w:r>
        <w:rPr>
          <w:rFonts w:eastAsia="仿宋_GB2312"/>
          <w:kern w:val="2"/>
          <w:sz w:val="30"/>
        </w:rPr>
        <w:t>，主要原因是</w:t>
      </w:r>
      <w:r>
        <w:rPr>
          <w:rFonts w:ascii="仿宋_GB2312" w:hAnsi="仿宋_GB2312" w:eastAsia="仿宋_GB2312"/>
          <w:kern w:val="2"/>
          <w:sz w:val="30"/>
        </w:rPr>
        <w:t>落实 “过紧日子”要求，严控“三公”经费支出</w:t>
      </w:r>
      <w:r>
        <w:rPr>
          <w:rFonts w:eastAsia="仿宋_GB2312"/>
          <w:kern w:val="2"/>
          <w:sz w:val="30"/>
        </w:rPr>
        <w:t>。具体情况：</w:t>
      </w:r>
    </w:p>
    <w:p>
      <w:pPr>
        <w:spacing w:line="560" w:lineRule="exact"/>
        <w:ind w:firstLine="600"/>
        <w:jc w:val="both"/>
        <w:rPr>
          <w:rFonts w:hint="default" w:eastAsia="MS Serif"/>
          <w:kern w:val="2"/>
          <w:sz w:val="30"/>
        </w:rPr>
      </w:pPr>
      <w:r>
        <w:rPr>
          <w:rFonts w:eastAsia="仿宋_GB2312"/>
          <w:kern w:val="2"/>
          <w:sz w:val="30"/>
        </w:rPr>
        <w:t>一、2025年因公出国（境）费预算</w:t>
      </w:r>
      <w:r>
        <w:rPr>
          <w:rFonts w:hint="default" w:eastAsia="仿宋"/>
          <w:kern w:val="2"/>
          <w:sz w:val="30"/>
          <w:lang w:val="zh-CN"/>
        </w:rPr>
        <w:t>0.0</w:t>
      </w:r>
      <w:r>
        <w:rPr>
          <w:rFonts w:eastAsia="仿宋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，与2024年预算相比</w:t>
      </w:r>
      <w:r>
        <w:rPr>
          <w:rFonts w:eastAsia="仿宋"/>
          <w:kern w:val="2"/>
          <w:sz w:val="30"/>
        </w:rPr>
        <w:t>持平</w:t>
      </w:r>
      <w:r>
        <w:rPr>
          <w:rFonts w:eastAsia="仿宋_GB2312"/>
          <w:kern w:val="2"/>
          <w:sz w:val="30"/>
        </w:rPr>
        <w:t>，主要原因是本单位一般公共预算未安排“因公出国（境）费”经费。</w:t>
      </w:r>
    </w:p>
    <w:p>
      <w:pPr>
        <w:spacing w:line="580" w:lineRule="exact"/>
        <w:ind w:firstLine="600"/>
        <w:jc w:val="both"/>
        <w:rPr>
          <w:rFonts w:hint="default" w:eastAsia="仿宋_GB2312"/>
          <w:kern w:val="2"/>
          <w:sz w:val="30"/>
          <w:lang w:val="zh-CN"/>
        </w:rPr>
      </w:pPr>
      <w:r>
        <w:rPr>
          <w:rFonts w:eastAsia="仿宋_GB2312"/>
          <w:kern w:val="2"/>
          <w:sz w:val="30"/>
        </w:rPr>
        <w:t>二、2025年公务用车购置及运行费预算</w:t>
      </w:r>
      <w:r>
        <w:rPr>
          <w:rFonts w:eastAsia="仿宋"/>
          <w:kern w:val="2"/>
          <w:sz w:val="30"/>
          <w:lang w:val="zh-CN"/>
        </w:rPr>
        <w:t>1.8万元</w:t>
      </w:r>
      <w:r>
        <w:rPr>
          <w:rFonts w:eastAsia="仿宋_GB2312"/>
          <w:kern w:val="2"/>
          <w:sz w:val="30"/>
        </w:rPr>
        <w:t>，其中公务用车运行费</w:t>
      </w:r>
      <w:r>
        <w:rPr>
          <w:rFonts w:eastAsia="仿宋"/>
          <w:kern w:val="2"/>
          <w:sz w:val="30"/>
          <w:lang w:val="zh-CN"/>
        </w:rPr>
        <w:t>1.8万元</w:t>
      </w:r>
      <w:r>
        <w:rPr>
          <w:rFonts w:eastAsia="仿宋_GB2312"/>
          <w:kern w:val="2"/>
          <w:sz w:val="30"/>
        </w:rPr>
        <w:t>，与2024年预算相比</w:t>
      </w:r>
      <w:r>
        <w:rPr>
          <w:rFonts w:eastAsia="仿宋"/>
          <w:kern w:val="2"/>
          <w:sz w:val="30"/>
        </w:rPr>
        <w:t>持平</w:t>
      </w:r>
      <w:r>
        <w:rPr>
          <w:rFonts w:eastAsia="仿宋_GB2312"/>
          <w:kern w:val="2"/>
          <w:sz w:val="30"/>
        </w:rPr>
        <w:t>，主要原因是</w:t>
      </w:r>
      <w:r>
        <w:rPr>
          <w:rFonts w:ascii="仿宋_GB2312" w:hAnsi="仿宋_GB2312" w:eastAsia="仿宋_GB2312"/>
          <w:kern w:val="2"/>
          <w:sz w:val="30"/>
        </w:rPr>
        <w:t>落实“过紧日子”要求，严控“公务用车运行费”支出</w:t>
      </w:r>
      <w:r>
        <w:rPr>
          <w:rFonts w:eastAsia="仿宋_GB2312"/>
          <w:kern w:val="2"/>
          <w:sz w:val="30"/>
        </w:rPr>
        <w:t>；公务用车购置费</w:t>
      </w:r>
      <w:r>
        <w:rPr>
          <w:rFonts w:hint="default" w:eastAsia="仿宋"/>
          <w:kern w:val="2"/>
          <w:sz w:val="30"/>
          <w:lang w:val="zh-CN"/>
        </w:rPr>
        <w:t>0.0</w:t>
      </w:r>
      <w:r>
        <w:rPr>
          <w:rFonts w:eastAsia="仿宋"/>
          <w:kern w:val="2"/>
          <w:sz w:val="30"/>
          <w:lang w:val="zh-CN"/>
        </w:rPr>
        <w:t>万元</w:t>
      </w:r>
      <w:r>
        <w:rPr>
          <w:rFonts w:eastAsia="仿宋_GB2312"/>
          <w:kern w:val="2"/>
          <w:sz w:val="30"/>
        </w:rPr>
        <w:t>，与2024年预算相比</w:t>
      </w:r>
      <w:r>
        <w:rPr>
          <w:rFonts w:eastAsia="仿宋"/>
          <w:kern w:val="2"/>
          <w:sz w:val="30"/>
        </w:rPr>
        <w:t>持平</w:t>
      </w:r>
      <w:r>
        <w:rPr>
          <w:rFonts w:eastAsia="仿宋_GB2312"/>
          <w:kern w:val="2"/>
          <w:sz w:val="30"/>
        </w:rPr>
        <w:t>，主要原因是</w:t>
      </w:r>
      <w:r>
        <w:rPr>
          <w:rFonts w:eastAsia="仿宋_GB2312"/>
          <w:kern w:val="2"/>
          <w:sz w:val="30"/>
          <w:lang w:val="zh-CN"/>
        </w:rPr>
        <w:t>本单位一般公共预算未安排“公务用车购置费”经费。</w:t>
      </w:r>
    </w:p>
    <w:p>
      <w:pPr>
        <w:spacing w:line="560" w:lineRule="exact"/>
        <w:ind w:firstLine="645"/>
        <w:jc w:val="both"/>
        <w:rPr>
          <w:rFonts w:hint="default" w:eastAsia="MS Serif"/>
          <w:kern w:val="2"/>
          <w:sz w:val="30"/>
        </w:rPr>
      </w:pPr>
      <w:r>
        <w:rPr>
          <w:rFonts w:eastAsia="仿宋_GB2312"/>
          <w:kern w:val="2"/>
          <w:sz w:val="30"/>
        </w:rPr>
        <w:t>三、2025年公务接待费预算</w:t>
      </w:r>
      <w:r>
        <w:rPr>
          <w:rFonts w:eastAsia="仿宋"/>
          <w:kern w:val="2"/>
          <w:sz w:val="30"/>
          <w:lang w:val="zh-CN"/>
        </w:rPr>
        <w:t>0.2万元</w:t>
      </w:r>
      <w:r>
        <w:rPr>
          <w:rFonts w:eastAsia="仿宋_GB2312"/>
          <w:kern w:val="2"/>
          <w:sz w:val="30"/>
        </w:rPr>
        <w:t>，与2024年预算相比</w:t>
      </w:r>
      <w:r>
        <w:rPr>
          <w:rFonts w:eastAsia="仿宋"/>
          <w:kern w:val="2"/>
          <w:sz w:val="30"/>
        </w:rPr>
        <w:t>持平</w:t>
      </w:r>
      <w:r>
        <w:rPr>
          <w:rFonts w:eastAsia="仿宋_GB2312"/>
          <w:kern w:val="2"/>
          <w:sz w:val="30"/>
        </w:rPr>
        <w:t>，主要原因是</w:t>
      </w:r>
      <w:r>
        <w:rPr>
          <w:rFonts w:ascii="仿宋_GB2312" w:hAnsi="仿宋_GB2312" w:eastAsia="仿宋_GB2312"/>
          <w:kern w:val="2"/>
          <w:sz w:val="30"/>
        </w:rPr>
        <w:t>落实“过紧日子”要求，严控“公务接待费”支出</w:t>
      </w:r>
      <w:r>
        <w:rPr>
          <w:rFonts w:eastAsia="仿宋_GB2312"/>
          <w:kern w:val="2"/>
          <w:sz w:val="30"/>
        </w:rPr>
        <w:t>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hint="default" w:eastAsia="Calibri"/>
          <w:kern w:val="2"/>
          <w:sz w:val="21"/>
          <w:lang w:val="zh-CN"/>
        </w:rPr>
      </w:pPr>
      <w:r>
        <w:rPr>
          <w:rFonts w:eastAsia="黑体"/>
          <w:sz w:val="30"/>
        </w:rPr>
        <w:t>八、关于政府性基金预算支出情况表的说明</w:t>
      </w:r>
    </w:p>
    <w:p>
      <w:pPr>
        <w:spacing w:line="560" w:lineRule="exact"/>
        <w:ind w:firstLine="645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2025年</w:t>
      </w:r>
      <w:r>
        <w:rPr>
          <w:rFonts w:eastAsia="仿宋_GB2312"/>
          <w:kern w:val="2"/>
          <w:sz w:val="30"/>
          <w:lang w:val="zh-CN"/>
        </w:rPr>
        <w:t>天津市群众艺术馆</w:t>
      </w:r>
      <w:r>
        <w:rPr>
          <w:rFonts w:eastAsia="仿宋_GB2312"/>
          <w:kern w:val="2"/>
          <w:sz w:val="30"/>
        </w:rPr>
        <w:t>预算中没有使用政府性基金预算安排的支出。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hint="default" w:eastAsia="黑体"/>
          <w:sz w:val="30"/>
        </w:rPr>
      </w:pPr>
      <w:r>
        <w:rPr>
          <w:rFonts w:eastAsia="黑体"/>
          <w:sz w:val="30"/>
        </w:rPr>
        <w:t>九、关于国有资本经营预算支出情况表的说明</w:t>
      </w:r>
    </w:p>
    <w:p>
      <w:pPr>
        <w:spacing w:line="560" w:lineRule="exact"/>
        <w:ind w:firstLine="645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  <w:lang w:val="zh-CN"/>
        </w:rPr>
        <w:t>2025年天津市群众艺术馆</w:t>
      </w:r>
      <w:r>
        <w:rPr>
          <w:rFonts w:eastAsia="仿宋_GB2312"/>
          <w:kern w:val="2"/>
          <w:sz w:val="30"/>
        </w:rPr>
        <w:t>预算中没有使用国有资本经营预算安排的支出。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hint="default" w:eastAsia="黑体"/>
          <w:sz w:val="30"/>
        </w:rPr>
      </w:pPr>
      <w:r>
        <w:rPr>
          <w:rFonts w:eastAsia="黑体"/>
          <w:sz w:val="30"/>
        </w:rPr>
        <w:t>十、其他重要事项的情况说明</w:t>
      </w:r>
    </w:p>
    <w:p>
      <w:pPr>
        <w:spacing w:line="600" w:lineRule="exact"/>
        <w:ind w:left="480"/>
        <w:jc w:val="both"/>
        <w:rPr>
          <w:rFonts w:hint="default" w:eastAsia="楷体"/>
          <w:b/>
          <w:kern w:val="2"/>
          <w:sz w:val="30"/>
        </w:rPr>
      </w:pPr>
      <w:r>
        <w:rPr>
          <w:rFonts w:eastAsia="楷体"/>
          <w:b/>
          <w:kern w:val="2"/>
          <w:sz w:val="30"/>
        </w:rPr>
        <w:t xml:space="preserve"> （一）机关运行经费。</w:t>
      </w:r>
    </w:p>
    <w:p>
      <w:pPr>
        <w:spacing w:line="560" w:lineRule="exact"/>
        <w:ind w:firstLine="645"/>
        <w:jc w:val="both"/>
        <w:rPr>
          <w:rFonts w:hint="default" w:eastAsia="仿宋_GB2312"/>
          <w:kern w:val="2"/>
          <w:sz w:val="30"/>
        </w:rPr>
      </w:pPr>
      <w:r>
        <w:rPr>
          <w:rFonts w:eastAsia="仿宋_GB2312"/>
          <w:kern w:val="2"/>
          <w:sz w:val="30"/>
          <w:lang w:val="zh-CN"/>
        </w:rPr>
        <w:t xml:space="preserve"> 天津市群众艺术馆</w:t>
      </w:r>
      <w:r>
        <w:rPr>
          <w:rFonts w:eastAsia="仿宋_GB2312"/>
          <w:kern w:val="2"/>
          <w:sz w:val="30"/>
        </w:rPr>
        <w:t>2025年未安排机关运行经费预算</w:t>
      </w:r>
      <w:r>
        <w:rPr>
          <w:rFonts w:eastAsia="仿宋_GB2312"/>
          <w:kern w:val="2"/>
          <w:sz w:val="30"/>
          <w:lang w:val="zh-CN"/>
        </w:rPr>
        <w:t>。</w:t>
      </w:r>
    </w:p>
    <w:p>
      <w:pPr>
        <w:spacing w:line="600" w:lineRule="exact"/>
        <w:ind w:firstLine="602"/>
        <w:jc w:val="both"/>
        <w:rPr>
          <w:rFonts w:hint="default" w:eastAsia="MS Serif"/>
          <w:b/>
          <w:kern w:val="2"/>
          <w:sz w:val="30"/>
        </w:rPr>
      </w:pPr>
      <w:r>
        <w:rPr>
          <w:rFonts w:eastAsia="楷体"/>
          <w:b/>
          <w:kern w:val="2"/>
          <w:sz w:val="30"/>
        </w:rPr>
        <w:t>（二）</w:t>
      </w:r>
      <w:r>
        <w:rPr>
          <w:rFonts w:eastAsia="楷体_GB2312"/>
          <w:b/>
          <w:kern w:val="2"/>
          <w:sz w:val="30"/>
        </w:rPr>
        <w:t>政府采购情况</w:t>
      </w:r>
      <w:r>
        <w:rPr>
          <w:rFonts w:eastAsia="楷体"/>
          <w:b/>
          <w:kern w:val="2"/>
          <w:sz w:val="30"/>
        </w:rPr>
        <w:t>。</w:t>
      </w:r>
    </w:p>
    <w:p>
      <w:pPr>
        <w:spacing w:line="580" w:lineRule="exact"/>
        <w:ind w:firstLine="600"/>
        <w:jc w:val="both"/>
        <w:rPr>
          <w:rFonts w:hint="default" w:eastAsia="仿宋_GB2312"/>
          <w:kern w:val="2"/>
          <w:sz w:val="30"/>
          <w:lang w:val="zh-CN"/>
        </w:rPr>
      </w:pPr>
      <w:r>
        <w:rPr>
          <w:rFonts w:eastAsia="仿宋_GB2312"/>
          <w:kern w:val="2"/>
          <w:sz w:val="30"/>
        </w:rPr>
        <w:t>本单位2025年安排政府采购预算</w:t>
      </w:r>
      <w:r>
        <w:rPr>
          <w:rFonts w:eastAsia="仿宋_GB2312"/>
          <w:kern w:val="2"/>
          <w:sz w:val="30"/>
          <w:lang w:val="zh-CN"/>
        </w:rPr>
        <w:t>601.7</w:t>
      </w:r>
      <w:r>
        <w:rPr>
          <w:rFonts w:eastAsia="仿宋_GB2312"/>
          <w:kern w:val="2"/>
          <w:sz w:val="30"/>
        </w:rPr>
        <w:t>万元，其中：政府采购货物支出</w:t>
      </w:r>
      <w:r>
        <w:rPr>
          <w:rFonts w:eastAsia="仿宋_GB2312"/>
          <w:kern w:val="2"/>
          <w:sz w:val="30"/>
          <w:lang w:val="zh-CN"/>
        </w:rPr>
        <w:t>3.7</w:t>
      </w:r>
      <w:r>
        <w:rPr>
          <w:rFonts w:eastAsia="仿宋_GB2312"/>
          <w:kern w:val="2"/>
          <w:sz w:val="30"/>
        </w:rPr>
        <w:t>万元、政府采购工程支出</w:t>
      </w:r>
      <w:r>
        <w:rPr>
          <w:rFonts w:hint="default" w:eastAsia="仿宋_GB2312"/>
          <w:kern w:val="2"/>
          <w:sz w:val="30"/>
          <w:lang w:val="zh-CN"/>
        </w:rPr>
        <w:t>0.0</w:t>
      </w:r>
      <w:r>
        <w:rPr>
          <w:rFonts w:eastAsia="仿宋_GB2312"/>
          <w:kern w:val="2"/>
          <w:sz w:val="30"/>
        </w:rPr>
        <w:t>万元、政府采购服务支出</w:t>
      </w:r>
      <w:r>
        <w:rPr>
          <w:rFonts w:eastAsia="仿宋_GB2312"/>
          <w:kern w:val="2"/>
          <w:sz w:val="30"/>
          <w:lang w:val="zh-CN"/>
        </w:rPr>
        <w:t>598.0</w:t>
      </w:r>
      <w:r>
        <w:rPr>
          <w:rFonts w:eastAsia="仿宋_GB2312"/>
          <w:kern w:val="2"/>
          <w:sz w:val="30"/>
        </w:rPr>
        <w:t>万元</w:t>
      </w:r>
      <w:r>
        <w:rPr>
          <w:rFonts w:eastAsia="仿宋_GB2312"/>
          <w:color w:val="000000"/>
          <w:kern w:val="2"/>
          <w:sz w:val="30"/>
        </w:rPr>
        <w:t>。主要项目是：</w:t>
      </w:r>
      <w:r>
        <w:rPr>
          <w:rFonts w:eastAsia="仿宋_GB2312"/>
          <w:kern w:val="2"/>
          <w:sz w:val="30"/>
          <w:lang w:val="zh-CN"/>
        </w:rPr>
        <w:t>公共文化云建设（</w:t>
      </w:r>
      <w:r>
        <w:rPr>
          <w:rFonts w:hint="default" w:eastAsia="仿宋_GB2312"/>
          <w:kern w:val="2"/>
          <w:sz w:val="30"/>
          <w:lang w:val="zh-CN"/>
        </w:rPr>
        <w:t>2025</w:t>
      </w:r>
      <w:r>
        <w:rPr>
          <w:rFonts w:eastAsia="仿宋_GB2312"/>
          <w:kern w:val="2"/>
          <w:sz w:val="30"/>
          <w:lang w:val="zh-CN"/>
        </w:rPr>
        <w:t>年中央支持地方公共文化服务体系建设补助资金）</w:t>
      </w:r>
      <w:r>
        <w:rPr>
          <w:rFonts w:hint="default" w:eastAsia="仿宋_GB2312"/>
          <w:kern w:val="2"/>
          <w:sz w:val="30"/>
          <w:lang w:val="zh-CN"/>
        </w:rPr>
        <w:t>-</w:t>
      </w:r>
      <w:r>
        <w:rPr>
          <w:rFonts w:eastAsia="仿宋_GB2312"/>
          <w:kern w:val="2"/>
          <w:sz w:val="30"/>
          <w:lang w:val="zh-CN"/>
        </w:rPr>
        <w:t>中央项目</w:t>
      </w:r>
      <w:r>
        <w:rPr>
          <w:rFonts w:hint="default" w:eastAsia="仿宋_GB2312"/>
          <w:kern w:val="2"/>
          <w:sz w:val="30"/>
          <w:lang w:val="zh-CN"/>
        </w:rPr>
        <w:t>372</w:t>
      </w:r>
      <w:r>
        <w:rPr>
          <w:rFonts w:eastAsia="仿宋_GB2312"/>
          <w:kern w:val="2"/>
          <w:sz w:val="30"/>
          <w:lang w:val="zh-CN"/>
        </w:rPr>
        <w:t>万元，物业管理服务</w:t>
      </w:r>
      <w:r>
        <w:rPr>
          <w:rFonts w:hint="default" w:eastAsia="仿宋_GB2312"/>
          <w:kern w:val="2"/>
          <w:sz w:val="30"/>
          <w:lang w:val="zh-CN"/>
        </w:rPr>
        <w:t>226</w:t>
      </w:r>
      <w:r>
        <w:rPr>
          <w:rFonts w:eastAsia="仿宋_GB2312"/>
          <w:kern w:val="2"/>
          <w:sz w:val="30"/>
          <w:lang w:val="zh-CN"/>
        </w:rPr>
        <w:t>万元，便携式计算机、台式计算机等</w:t>
      </w:r>
      <w:r>
        <w:rPr>
          <w:rFonts w:hint="default" w:eastAsia="仿宋_GB2312"/>
          <w:kern w:val="2"/>
          <w:sz w:val="30"/>
          <w:lang w:val="zh-CN"/>
        </w:rPr>
        <w:t>3.7</w:t>
      </w:r>
      <w:r>
        <w:rPr>
          <w:rFonts w:eastAsia="仿宋_GB2312"/>
          <w:kern w:val="2"/>
          <w:sz w:val="30"/>
          <w:lang w:val="zh-CN"/>
        </w:rPr>
        <w:t>万元。</w:t>
      </w:r>
    </w:p>
    <w:p>
      <w:pPr>
        <w:spacing w:line="600" w:lineRule="exact"/>
        <w:ind w:firstLine="602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（三）国有资产占用情况</w:t>
      </w:r>
      <w:r>
        <w:rPr>
          <w:rFonts w:eastAsia="楷体"/>
          <w:b/>
          <w:kern w:val="2"/>
          <w:sz w:val="30"/>
        </w:rPr>
        <w:t>。</w:t>
      </w:r>
    </w:p>
    <w:p>
      <w:pPr>
        <w:spacing w:line="580" w:lineRule="exact"/>
        <w:ind w:firstLine="600"/>
        <w:jc w:val="both"/>
        <w:rPr>
          <w:rFonts w:hint="default" w:eastAsia="仿宋_GB2312"/>
          <w:color w:val="000000"/>
          <w:kern w:val="2"/>
          <w:sz w:val="30"/>
        </w:rPr>
      </w:pPr>
      <w:r>
        <w:rPr>
          <w:rFonts w:eastAsia="仿宋_GB2312"/>
          <w:color w:val="000000"/>
          <w:kern w:val="2"/>
          <w:sz w:val="30"/>
        </w:rPr>
        <w:t>截至2024年7月底，</w:t>
      </w:r>
      <w:r>
        <w:rPr>
          <w:rFonts w:eastAsia="仿宋_GB2312"/>
          <w:kern w:val="2"/>
          <w:sz w:val="30"/>
        </w:rPr>
        <w:t>本部门</w:t>
      </w:r>
      <w:r>
        <w:rPr>
          <w:rFonts w:eastAsia="仿宋_GB2312"/>
          <w:color w:val="000000"/>
          <w:kern w:val="2"/>
          <w:sz w:val="30"/>
        </w:rPr>
        <w:t>各单位共有车辆1辆，其中：副部（省）级及以上领导用车</w:t>
      </w:r>
      <w:r>
        <w:rPr>
          <w:rFonts w:hint="default" w:eastAsia="仿宋_GB2312"/>
          <w:color w:val="000000"/>
          <w:kern w:val="2"/>
          <w:sz w:val="30"/>
        </w:rPr>
        <w:t>0</w:t>
      </w:r>
      <w:r>
        <w:rPr>
          <w:rFonts w:eastAsia="仿宋_GB2312"/>
          <w:color w:val="000000"/>
          <w:kern w:val="2"/>
          <w:sz w:val="30"/>
        </w:rPr>
        <w:t>辆、主要负责人干部用车</w:t>
      </w:r>
      <w:r>
        <w:rPr>
          <w:rFonts w:hint="default" w:eastAsia="仿宋_GB2312"/>
          <w:color w:val="000000"/>
          <w:kern w:val="2"/>
          <w:sz w:val="30"/>
        </w:rPr>
        <w:t>0</w:t>
      </w:r>
      <w:r>
        <w:rPr>
          <w:rFonts w:eastAsia="仿宋_GB2312"/>
          <w:color w:val="000000"/>
          <w:kern w:val="2"/>
          <w:sz w:val="30"/>
        </w:rPr>
        <w:t>辆、机要通信用车</w:t>
      </w:r>
      <w:r>
        <w:rPr>
          <w:rFonts w:hint="default" w:eastAsia="仿宋_GB2312"/>
          <w:color w:val="000000"/>
          <w:kern w:val="2"/>
          <w:sz w:val="30"/>
        </w:rPr>
        <w:t>0</w:t>
      </w:r>
      <w:r>
        <w:rPr>
          <w:rFonts w:eastAsia="仿宋_GB2312"/>
          <w:kern w:val="2"/>
          <w:sz w:val="30"/>
        </w:rPr>
        <w:t>辆、应急保障用车</w:t>
      </w:r>
      <w:r>
        <w:rPr>
          <w:rFonts w:hint="default" w:eastAsia="仿宋_GB2312"/>
          <w:color w:val="000000"/>
          <w:kern w:val="2"/>
          <w:sz w:val="30"/>
        </w:rPr>
        <w:t>0</w:t>
      </w:r>
      <w:r>
        <w:rPr>
          <w:rFonts w:eastAsia="仿宋_GB2312"/>
          <w:kern w:val="2"/>
          <w:sz w:val="30"/>
        </w:rPr>
        <w:t>辆、执法执勤用车</w:t>
      </w:r>
      <w:r>
        <w:rPr>
          <w:rFonts w:hint="default" w:eastAsia="仿宋_GB2312"/>
          <w:color w:val="000000"/>
          <w:kern w:val="2"/>
          <w:sz w:val="30"/>
        </w:rPr>
        <w:t>0</w:t>
      </w:r>
      <w:r>
        <w:rPr>
          <w:rFonts w:eastAsia="仿宋_GB2312"/>
          <w:kern w:val="2"/>
          <w:sz w:val="30"/>
        </w:rPr>
        <w:t>辆、特种专业技术用车</w:t>
      </w:r>
      <w:r>
        <w:rPr>
          <w:rFonts w:hint="default" w:eastAsia="仿宋_GB2312"/>
          <w:color w:val="000000"/>
          <w:kern w:val="2"/>
          <w:sz w:val="30"/>
        </w:rPr>
        <w:t>0</w:t>
      </w:r>
      <w:r>
        <w:rPr>
          <w:rFonts w:eastAsia="仿宋_GB2312"/>
          <w:kern w:val="2"/>
          <w:sz w:val="30"/>
        </w:rPr>
        <w:t>辆、离退休干部服务用车</w:t>
      </w:r>
      <w:r>
        <w:rPr>
          <w:rFonts w:hint="default" w:eastAsia="仿宋_GB2312"/>
          <w:color w:val="000000"/>
          <w:kern w:val="2"/>
          <w:sz w:val="30"/>
        </w:rPr>
        <w:t>0</w:t>
      </w:r>
      <w:r>
        <w:rPr>
          <w:rFonts w:eastAsia="仿宋_GB2312"/>
          <w:kern w:val="2"/>
          <w:sz w:val="30"/>
        </w:rPr>
        <w:t>辆、</w:t>
      </w:r>
      <w:r>
        <w:rPr>
          <w:rFonts w:eastAsia="仿宋_GB2312"/>
          <w:color w:val="000000"/>
          <w:kern w:val="2"/>
          <w:sz w:val="30"/>
        </w:rPr>
        <w:t>其他用车1辆，</w:t>
      </w:r>
      <w:r>
        <w:rPr>
          <w:rFonts w:eastAsia="仿宋_GB2312"/>
          <w:kern w:val="2"/>
          <w:sz w:val="30"/>
        </w:rPr>
        <w:t>其他用车主要包括业务活动用车</w:t>
      </w:r>
      <w:r>
        <w:rPr>
          <w:rFonts w:eastAsia="仿宋_GB2312"/>
          <w:color w:val="000000"/>
          <w:kern w:val="2"/>
          <w:sz w:val="30"/>
        </w:rPr>
        <w:t>。单价（账面原值）100万以上的设备</w:t>
      </w:r>
      <w:r>
        <w:rPr>
          <w:rFonts w:hint="default" w:eastAsia="仿宋_GB2312"/>
          <w:color w:val="000000"/>
          <w:kern w:val="2"/>
          <w:sz w:val="30"/>
        </w:rPr>
        <w:t>0</w:t>
      </w:r>
      <w:r>
        <w:rPr>
          <w:rFonts w:eastAsia="仿宋_GB2312"/>
          <w:color w:val="000000"/>
          <w:kern w:val="2"/>
          <w:sz w:val="30"/>
        </w:rPr>
        <w:t>台（套）。</w:t>
      </w:r>
    </w:p>
    <w:p>
      <w:pPr>
        <w:spacing w:line="600" w:lineRule="exact"/>
        <w:ind w:firstLine="602"/>
        <w:jc w:val="both"/>
        <w:rPr>
          <w:rFonts w:hint="default" w:eastAsia="MS Serif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（四）预算绩效情况说明。</w:t>
      </w:r>
    </w:p>
    <w:p>
      <w:pPr>
        <w:spacing w:line="580" w:lineRule="exact"/>
        <w:ind w:left="151" w:firstLine="450"/>
        <w:jc w:val="both"/>
        <w:rPr>
          <w:rFonts w:hint="default" w:eastAsia="仿宋_GB2312"/>
          <w:color w:val="000000"/>
          <w:kern w:val="2"/>
          <w:sz w:val="30"/>
        </w:rPr>
      </w:pPr>
      <w:r>
        <w:rPr>
          <w:rFonts w:eastAsia="仿宋_GB2312"/>
          <w:color w:val="000000"/>
          <w:kern w:val="2"/>
          <w:sz w:val="30"/>
        </w:rPr>
        <w:t>本单位2025年实行绩效目标管理的项目</w:t>
      </w:r>
      <w:r>
        <w:rPr>
          <w:rFonts w:eastAsia="仿宋_GB2312"/>
          <w:color w:val="000000"/>
          <w:kern w:val="2"/>
          <w:sz w:val="30"/>
          <w:lang w:val="zh-CN"/>
        </w:rPr>
        <w:t>10</w:t>
      </w:r>
      <w:r>
        <w:rPr>
          <w:rFonts w:eastAsia="仿宋_GB2312"/>
          <w:color w:val="000000"/>
          <w:kern w:val="2"/>
          <w:sz w:val="30"/>
        </w:rPr>
        <w:t>个，涉及预算金额</w:t>
      </w:r>
      <w:r>
        <w:rPr>
          <w:rFonts w:eastAsia="仿宋_GB2312"/>
          <w:color w:val="000000"/>
          <w:kern w:val="2"/>
          <w:sz w:val="30"/>
          <w:lang w:val="zh-CN"/>
        </w:rPr>
        <w:t>1,218.5万元</w:t>
      </w:r>
      <w:r>
        <w:rPr>
          <w:rFonts w:eastAsia="仿宋_GB2312"/>
          <w:color w:val="000000"/>
          <w:kern w:val="2"/>
          <w:sz w:val="30"/>
        </w:rPr>
        <w:t>。</w:t>
      </w:r>
    </w:p>
    <w:p>
      <w:pPr>
        <w:spacing w:line="580" w:lineRule="exact"/>
        <w:ind w:firstLine="600"/>
        <w:jc w:val="center"/>
        <w:rPr>
          <w:rFonts w:hint="default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hint="default" w:eastAsia="黑体"/>
          <w:b/>
          <w:kern w:val="2"/>
          <w:sz w:val="44"/>
        </w:rPr>
      </w:pPr>
      <w:r>
        <w:rPr>
          <w:rFonts w:eastAsia="方正小标宋简体"/>
          <w:b/>
          <w:kern w:val="44"/>
          <w:sz w:val="44"/>
          <w:lang w:val="zh-CN"/>
        </w:rPr>
        <w:t>第三部分</w:t>
      </w:r>
      <w:r>
        <w:rPr>
          <w:rFonts w:eastAsia="黑体"/>
          <w:b/>
          <w:kern w:val="2"/>
          <w:sz w:val="44"/>
        </w:rPr>
        <w:t xml:space="preserve">  </w:t>
      </w:r>
      <w:r>
        <w:rPr>
          <w:rFonts w:eastAsia="方正小标宋简体"/>
          <w:b/>
          <w:kern w:val="44"/>
          <w:sz w:val="44"/>
        </w:rPr>
        <w:t>名词解释</w:t>
      </w:r>
    </w:p>
    <w:p>
      <w:pPr>
        <w:spacing w:line="600" w:lineRule="exact"/>
        <w:ind w:firstLine="600"/>
        <w:jc w:val="both"/>
        <w:rPr>
          <w:rFonts w:hint="default" w:eastAsia="仿宋_GB2312"/>
          <w:kern w:val="2"/>
          <w:sz w:val="30"/>
        </w:rPr>
      </w:pPr>
    </w:p>
    <w:p>
      <w:pPr>
        <w:spacing w:line="580" w:lineRule="exact"/>
        <w:ind w:firstLine="600"/>
        <w:rPr>
          <w:rFonts w:hint="default" w:eastAsia="仿宋_GB2312"/>
          <w:sz w:val="30"/>
        </w:rPr>
      </w:pPr>
      <w:r>
        <w:rPr>
          <w:rFonts w:eastAsia="仿宋_GB2312"/>
          <w:sz w:val="30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/>
        <w:rPr>
          <w:rFonts w:hint="default" w:eastAsia="仿宋_GB2312"/>
          <w:sz w:val="30"/>
        </w:rPr>
      </w:pPr>
      <w:r>
        <w:rPr>
          <w:rFonts w:eastAsia="仿宋_GB2312"/>
          <w:sz w:val="30"/>
        </w:rPr>
        <w:t>2. 机关运行经费。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00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jc w:val="both"/>
        <w:rPr>
          <w:rFonts w:hint="default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hint="default" w:eastAsia="MS Serif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hint="default" w:eastAsia="MS Serif"/>
          <w:kern w:val="2"/>
          <w:sz w:val="30"/>
        </w:rPr>
      </w:pPr>
    </w:p>
    <w:p>
      <w:pPr>
        <w:spacing w:line="580" w:lineRule="exact"/>
        <w:jc w:val="center"/>
        <w:rPr>
          <w:rFonts w:hint="default" w:eastAsia="黑体"/>
          <w:b/>
          <w:kern w:val="2"/>
          <w:sz w:val="44"/>
        </w:rPr>
      </w:pPr>
      <w:r>
        <w:rPr>
          <w:rFonts w:eastAsia="方正小标宋简体"/>
          <w:b/>
          <w:kern w:val="44"/>
          <w:sz w:val="44"/>
          <w:lang w:val="zh-CN"/>
        </w:rPr>
        <w:t>第四部分</w:t>
      </w:r>
      <w:r>
        <w:rPr>
          <w:rFonts w:eastAsia="黑体"/>
          <w:b/>
          <w:kern w:val="2"/>
          <w:sz w:val="44"/>
        </w:rPr>
        <w:t xml:space="preserve">  </w:t>
      </w:r>
      <w:r>
        <w:rPr>
          <w:rFonts w:eastAsia="方正小标宋简体"/>
          <w:b/>
          <w:kern w:val="44"/>
          <w:sz w:val="44"/>
        </w:rPr>
        <w:t>2025年单位预算表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一、《收支总体情况表》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二、《收入总体情况表》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三、《支出总体情况表》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四、《财政拨款收支总体情况表》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五、《一般公共预算支出情况表》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六、《一般公共预算基本支出情况表》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七、《一般公共预算“三公”经费支出情况表》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八、《政府性基金预算支出情况表》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九、《国有资本经营预算支出情况表》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十、《项目支出表》</w:t>
      </w:r>
    </w:p>
    <w:p>
      <w:pPr>
        <w:spacing w:line="560" w:lineRule="exact"/>
        <w:ind w:left="480"/>
        <w:jc w:val="both"/>
        <w:rPr>
          <w:rFonts w:hint="default" w:eastAsia="楷体_GB2312"/>
          <w:b/>
          <w:kern w:val="2"/>
          <w:sz w:val="30"/>
        </w:rPr>
      </w:pPr>
      <w:r>
        <w:rPr>
          <w:rFonts w:eastAsia="楷体_GB2312"/>
          <w:b/>
          <w:kern w:val="2"/>
          <w:sz w:val="30"/>
        </w:rPr>
        <w:t>十一、关于空表的说明</w:t>
      </w:r>
      <w:r>
        <w:rPr>
          <w:rFonts w:hint="default" w:eastAsia="楷体_GB2312"/>
          <w:b/>
          <w:kern w:val="2"/>
          <w:sz w:val="30"/>
        </w:rPr>
        <w:tab/>
      </w:r>
    </w:p>
    <w:p>
      <w:pPr>
        <w:spacing w:line="560" w:lineRule="exact"/>
        <w:ind w:firstLine="600"/>
        <w:rPr>
          <w:rFonts w:hint="default" w:eastAsia="楷体_GB2312"/>
          <w:sz w:val="30"/>
        </w:rPr>
      </w:pPr>
      <w:r>
        <w:rPr>
          <w:rFonts w:eastAsia="楷体_GB2312"/>
          <w:sz w:val="30"/>
        </w:rPr>
        <w:t>1.</w:t>
      </w:r>
      <w:r>
        <w:rPr>
          <w:rFonts w:eastAsia="楷体_GB2312"/>
          <w:sz w:val="30"/>
          <w:lang w:val="zh-CN"/>
        </w:rPr>
        <w:t>天津市群众艺术馆</w:t>
      </w:r>
      <w:r>
        <w:rPr>
          <w:rFonts w:eastAsia="楷体_GB2312"/>
          <w:sz w:val="30"/>
        </w:rPr>
        <w:t>2025年政府性基金预算支出情况表为空表。</w:t>
      </w:r>
    </w:p>
    <w:p>
      <w:pPr>
        <w:spacing w:line="560" w:lineRule="exact"/>
        <w:ind w:firstLine="600"/>
        <w:rPr>
          <w:rFonts w:hint="default" w:eastAsia="Times New Roman"/>
          <w:kern w:val="2"/>
          <w:sz w:val="44"/>
          <w:lang w:val="zh-CN"/>
        </w:rPr>
      </w:pPr>
      <w:r>
        <w:rPr>
          <w:rFonts w:eastAsia="楷体_GB2312"/>
          <w:sz w:val="30"/>
        </w:rPr>
        <w:t>2.</w:t>
      </w:r>
      <w:r>
        <w:rPr>
          <w:rFonts w:eastAsia="楷体_GB2312"/>
          <w:sz w:val="30"/>
          <w:lang w:val="zh-CN"/>
        </w:rPr>
        <w:t>天津市群众艺术馆</w:t>
      </w:r>
      <w:r>
        <w:rPr>
          <w:rFonts w:eastAsia="楷体_GB2312"/>
          <w:sz w:val="30"/>
        </w:rPr>
        <w:t>2025年国有资本经营预算支出情况表为空表。</w:t>
      </w:r>
    </w:p>
    <w:sectPr>
      <w:pgSz w:w="12240" w:h="15840"/>
      <w:pgMar w:top="1440" w:right="1800" w:bottom="1276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erif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true"/>
  <w:drawingGridHorizontalOrigin w:val="1800"/>
  <w:drawingGridVerticalOrigin w:val="1440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4BD7"/>
    <w:rsid w:val="0019548E"/>
    <w:rsid w:val="00336ABD"/>
    <w:rsid w:val="004A2CB9"/>
    <w:rsid w:val="006E7BD6"/>
    <w:rsid w:val="009613C3"/>
    <w:rsid w:val="00AF7D3F"/>
    <w:rsid w:val="00C17135"/>
    <w:rsid w:val="00D06BE9"/>
    <w:rsid w:val="10966002"/>
    <w:rsid w:val="25493522"/>
    <w:rsid w:val="329453C2"/>
    <w:rsid w:val="35C168AA"/>
    <w:rsid w:val="5D0E42FE"/>
    <w:rsid w:val="BFB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1"/>
    <w:unhideWhenUsed/>
    <w:qFormat/>
    <w:uiPriority w:val="99"/>
    <w:pPr>
      <w:outlineLvl w:val="0"/>
    </w:pPr>
  </w:style>
  <w:style w:type="paragraph" w:styleId="3">
    <w:name w:val="heading 2"/>
    <w:basedOn w:val="1"/>
    <w:next w:val="1"/>
    <w:link w:val="9"/>
    <w:unhideWhenUsed/>
    <w:qFormat/>
    <w:uiPriority w:val="99"/>
    <w:pPr>
      <w:outlineLvl w:val="1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rPr>
      <w:sz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3"/>
    <w:unhideWhenUsed/>
    <w:qFormat/>
    <w:locked/>
    <w:uiPriority w:val="9"/>
    <w:rPr>
      <w:rFonts w:hint="eastAsia" w:ascii="Calibri Light" w:hAnsi="Calibri Light" w:eastAsia="宋体"/>
      <w:b/>
      <w:sz w:val="32"/>
    </w:rPr>
  </w:style>
  <w:style w:type="character" w:customStyle="1" w:styleId="10">
    <w:name w:val="批注框文本 字符"/>
    <w:basedOn w:val="8"/>
    <w:link w:val="4"/>
    <w:unhideWhenUsed/>
    <w:qFormat/>
    <w:locked/>
    <w:uiPriority w:val="99"/>
    <w:rPr>
      <w:rFonts w:hint="default" w:ascii="Times New Roman" w:hAnsi="Times New Roman" w:eastAsia="宋体"/>
      <w:sz w:val="18"/>
    </w:rPr>
  </w:style>
  <w:style w:type="character" w:customStyle="1" w:styleId="11">
    <w:name w:val="标题 1 字符"/>
    <w:basedOn w:val="8"/>
    <w:link w:val="2"/>
    <w:unhideWhenUsed/>
    <w:qFormat/>
    <w:locked/>
    <w:uiPriority w:val="9"/>
    <w:rPr>
      <w:rFonts w:hint="default" w:ascii="Times New Roman" w:hAnsi="Times New Roman" w:eastAsia="宋体"/>
      <w:b/>
      <w:kern w:val="44"/>
      <w:sz w:val="44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646</Words>
  <Characters>3685</Characters>
  <Lines>30</Lines>
  <Paragraphs>8</Paragraphs>
  <TotalTime>10</TotalTime>
  <ScaleCrop>false</ScaleCrop>
  <LinksUpToDate>false</LinksUpToDate>
  <CharactersWithSpaces>4323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2025-02-19T09:03:00Z</dcterms:created>
  <dc:creator>admin</dc:creator>
  <cp:lastModifiedBy>kylin</cp:lastModifiedBy>
  <dcterms:modified xsi:type="dcterms:W3CDTF">2025-02-24T13:52:02Z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