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天津市群众艺术馆</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pStyle w:val="9"/>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"_Toc157760296"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1.群众艺术馆免费开放补助经费绩效目标表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"_Toc157760297"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2</w:t>
      </w:r>
      <w:r>
        <w:rPr>
          <w:rStyle w:val="16"/>
          <w:rFonts w:hint="eastAsia" w:ascii="方正仿宋_GBK" w:hAnsi="方正仿宋_GBK" w:eastAsia="方正仿宋_GBK" w:cs="方正仿宋_GBK"/>
        </w:rPr>
        <w:t>.群众艺术馆运行经费绩效目标表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"_Toc157760298"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3.天津公共文化云运维绩效目标表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"_Toc157760299"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4</w:t>
      </w:r>
      <w:r>
        <w:rPr>
          <w:rStyle w:val="16"/>
          <w:rFonts w:hint="eastAsia" w:ascii="方正仿宋_GBK" w:hAnsi="方正仿宋_GBK" w:eastAsia="方正仿宋_GBK" w:cs="方正仿宋_GBK"/>
        </w:rPr>
        <w:t>.“春雨工程”天津市文化志愿者边疆行系列活动绩效目标表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"_Toc157760300"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5</w:t>
      </w:r>
      <w:r>
        <w:rPr>
          <w:rStyle w:val="16"/>
          <w:rFonts w:hint="eastAsia" w:ascii="方正仿宋_GBK" w:hAnsi="方正仿宋_GBK" w:eastAsia="方正仿宋_GBK" w:cs="方正仿宋_GBK"/>
        </w:rPr>
        <w:t>.非财政拨款项目支出-2024文化馆服务宣传周系列活动绩效目标表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"_Toc157760301"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6</w:t>
      </w:r>
      <w:r>
        <w:rPr>
          <w:rStyle w:val="16"/>
          <w:rFonts w:hint="eastAsia" w:ascii="方正仿宋_GBK" w:hAnsi="方正仿宋_GBK" w:eastAsia="方正仿宋_GBK" w:cs="方正仿宋_GBK"/>
        </w:rPr>
        <w:t>.非财政拨款项目支出-“歌唱祖国”主题歌咏系列活动绩效目标表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"_Toc157760302"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7</w:t>
      </w:r>
      <w:r>
        <w:rPr>
          <w:rStyle w:val="16"/>
          <w:rFonts w:hint="eastAsia" w:ascii="方正仿宋_GBK" w:hAnsi="方正仿宋_GBK" w:eastAsia="方正仿宋_GBK" w:cs="方正仿宋_GBK"/>
        </w:rPr>
        <w:t>.非财政拨款项目支出-期刊交流展示及理论研讨活动绩效目标表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"_Toc157760303"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8</w:t>
      </w:r>
      <w:r>
        <w:rPr>
          <w:rStyle w:val="16"/>
          <w:rFonts w:hint="eastAsia" w:ascii="方正仿宋_GBK" w:hAnsi="方正仿宋_GBK" w:eastAsia="方正仿宋_GBK" w:cs="方正仿宋_GBK"/>
        </w:rPr>
        <w:t>.非财政拨款项目支出-天津市优秀群众文艺作品集中展演绩效目标表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"_Toc157760304"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lang w:val="en-US" w:eastAsia="zh-CN"/>
        </w:rPr>
        <w:t>9</w:t>
      </w:r>
      <w:r>
        <w:rPr>
          <w:rStyle w:val="16"/>
          <w:rFonts w:hint="eastAsia" w:ascii="方正仿宋_GBK" w:hAnsi="方正仿宋_GBK" w:eastAsia="方正仿宋_GBK" w:cs="方正仿宋_GBK"/>
        </w:rPr>
        <w:t>.公共文化云建设（2023年中央支持地方公共文化服务体系建设补助资金）-中央绩效目标表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"_Toc157760305"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1</w:t>
      </w:r>
      <w:r>
        <w:rPr>
          <w:rStyle w:val="16"/>
          <w:rFonts w:hint="eastAsia" w:ascii="方正仿宋_GBK" w:hAnsi="方正仿宋_GBK" w:eastAsia="方正仿宋_GBK" w:cs="方正仿宋_GBK"/>
          <w:lang w:val="en-US" w:eastAsia="zh-CN"/>
        </w:rPr>
        <w:t>0</w:t>
      </w:r>
      <w:r>
        <w:rPr>
          <w:rStyle w:val="16"/>
          <w:rFonts w:hint="eastAsia" w:ascii="方正仿宋_GBK" w:hAnsi="方正仿宋_GBK" w:eastAsia="方正仿宋_GBK" w:cs="方正仿宋_GBK"/>
        </w:rPr>
        <w:t>.公共文化云建设（2024年中央支持地方公共文化服务体系建设补助资金）-中央绩效目标表</w:t>
      </w:r>
      <w:r>
        <w:rPr>
          <w:rStyle w:val="16"/>
          <w:rFonts w:hint="eastAsia" w:ascii="方正仿宋_GBK" w:hAnsi="方正仿宋_GBK" w:eastAsia="方正仿宋_GBK" w:cs="方正仿宋_GBK"/>
        </w:rPr>
        <w:fldChar w:fldCharType="end"/>
      </w:r>
    </w:p>
    <w:p>
      <w:pPr>
        <w:pStyle w:val="9"/>
        <w:tabs>
          <w:tab w:val="right" w:pos="9282"/>
        </w:tabs>
        <w:rPr>
          <w:rStyle w:val="16"/>
          <w:rFonts w:hint="eastAsia" w:ascii="方正仿宋_GBK" w:hAnsi="方正仿宋_GBK" w:eastAsia="方正仿宋_GBK" w:cs="方正仿宋_GBK"/>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"_Toc157760306"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1</w:t>
      </w:r>
      <w:r>
        <w:rPr>
          <w:rStyle w:val="16"/>
          <w:rFonts w:hint="eastAsia" w:ascii="方正仿宋_GBK" w:hAnsi="方正仿宋_GBK" w:eastAsia="方正仿宋_GBK" w:cs="方正仿宋_GBK"/>
          <w:lang w:val="en-US" w:eastAsia="zh-CN"/>
        </w:rPr>
        <w:t>1</w:t>
      </w:r>
      <w:r>
        <w:rPr>
          <w:rStyle w:val="16"/>
          <w:rFonts w:hint="eastAsia" w:ascii="方正仿宋_GBK" w:hAnsi="方正仿宋_GBK" w:eastAsia="方正仿宋_GBK" w:cs="方正仿宋_GBK"/>
        </w:rPr>
        <w:t>.天津市第九届市民文化艺术节系列活动绩效目标表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rPr>
          <w:rStyle w:val="16"/>
          <w:rFonts w:hint="eastAsia" w:ascii="方正仿宋_GBK" w:hAnsi="方正仿宋_GBK" w:eastAsia="方正仿宋_GBK" w:cs="方正仿宋_GBK"/>
        </w:rPr>
        <w:fldChar w:fldCharType="begin"/>
      </w:r>
      <w:r>
        <w:rPr>
          <w:rStyle w:val="16"/>
          <w:rFonts w:hint="eastAsia" w:ascii="方正仿宋_GBK" w:hAnsi="方正仿宋_GBK" w:eastAsia="方正仿宋_GBK" w:cs="方正仿宋_GBK"/>
        </w:rPr>
        <w:instrText xml:space="preserve"> HYPERLINK \l "_Toc157760307" </w:instrText>
      </w:r>
      <w:r>
        <w:rPr>
          <w:rStyle w:val="16"/>
          <w:rFonts w:hint="eastAsia" w:ascii="方正仿宋_GBK" w:hAnsi="方正仿宋_GBK" w:eastAsia="方正仿宋_GBK" w:cs="方正仿宋_GBK"/>
        </w:rPr>
        <w:fldChar w:fldCharType="separate"/>
      </w:r>
      <w:r>
        <w:rPr>
          <w:rStyle w:val="16"/>
          <w:rFonts w:hint="eastAsia" w:ascii="方正仿宋_GBK" w:hAnsi="方正仿宋_GBK" w:eastAsia="方正仿宋_GBK" w:cs="方正仿宋_GBK"/>
        </w:rPr>
        <w:t>1</w:t>
      </w:r>
      <w:r>
        <w:rPr>
          <w:rStyle w:val="16"/>
          <w:rFonts w:hint="eastAsia" w:ascii="方正仿宋_GBK" w:hAnsi="方正仿宋_GBK" w:eastAsia="方正仿宋_GBK" w:cs="方正仿宋_GBK"/>
          <w:lang w:val="en-US" w:eastAsia="zh-CN"/>
        </w:rPr>
        <w:t>2</w:t>
      </w:r>
      <w:r>
        <w:rPr>
          <w:rStyle w:val="16"/>
          <w:rFonts w:hint="eastAsia" w:ascii="方正仿宋_GBK" w:hAnsi="方正仿宋_GBK" w:eastAsia="方正仿宋_GBK" w:cs="方正仿宋_GBK"/>
        </w:rPr>
        <w:t>.天津市群众艺术馆网络升级改造绩效目标表</w:t>
      </w:r>
      <w:r>
        <w:rPr>
          <w:rStyle w:val="16"/>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pPr>
      <w:bookmarkStart w:id="0" w:name="_Toc157760296"/>
      <w:r>
        <w:rPr>
          <w:rFonts w:ascii="方正仿宋_GBK" w:hAnsi="方正仿宋_GBK" w:eastAsia="方正仿宋_GBK" w:cs="方正仿宋_GBK"/>
          <w:sz w:val="28"/>
        </w:rPr>
        <w:t>1.群众艺术馆免费开放补助经费绩效目标表</w:t>
      </w:r>
      <w:bookmarkEnd w:id="0"/>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群众艺术馆免费开放补助经费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120.00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用于群艺馆免费开放支出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1.通过开展文化惠民演出、展览活动及全民艺术普及培训，保障场馆正常运转，促进我市文化事业发展。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保障机构运行数</w:t>
            </w:r>
          </w:p>
        </w:tc>
        <w:tc>
          <w:tcPr>
            <w:tcW w:w="3430" w:type="dxa"/>
            <w:vAlign w:val="center"/>
          </w:tcPr>
          <w:p>
            <w:pPr>
              <w:pStyle w:val="22"/>
            </w:pPr>
            <w:r>
              <w:t>保障机构运行数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惠民活动场次</w:t>
            </w:r>
          </w:p>
        </w:tc>
        <w:tc>
          <w:tcPr>
            <w:tcW w:w="3430" w:type="dxa"/>
            <w:vAlign w:val="center"/>
          </w:tcPr>
          <w:p>
            <w:pPr>
              <w:pStyle w:val="22"/>
            </w:pPr>
            <w:r>
              <w:t>惠民活动场次</w:t>
            </w:r>
          </w:p>
        </w:tc>
        <w:tc>
          <w:tcPr>
            <w:tcW w:w="2551" w:type="dxa"/>
            <w:vAlign w:val="center"/>
          </w:tcPr>
          <w:p>
            <w:pPr>
              <w:pStyle w:val="22"/>
            </w:pPr>
            <w:r>
              <w:t>≥28场次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机构正常运转率</w:t>
            </w:r>
          </w:p>
        </w:tc>
        <w:tc>
          <w:tcPr>
            <w:tcW w:w="3430" w:type="dxa"/>
            <w:vAlign w:val="center"/>
          </w:tcPr>
          <w:p>
            <w:pPr>
              <w:pStyle w:val="22"/>
            </w:pPr>
            <w:r>
              <w:t>机构正常运转率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场馆开放及时率</w:t>
            </w:r>
          </w:p>
        </w:tc>
        <w:tc>
          <w:tcPr>
            <w:tcW w:w="3430" w:type="dxa"/>
            <w:vAlign w:val="center"/>
          </w:tcPr>
          <w:p>
            <w:pPr>
              <w:pStyle w:val="22"/>
            </w:pPr>
            <w:r>
              <w:t>场馆开放及时率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活动如期举行率</w:t>
            </w:r>
          </w:p>
        </w:tc>
        <w:tc>
          <w:tcPr>
            <w:tcW w:w="3430" w:type="dxa"/>
            <w:vAlign w:val="center"/>
          </w:tcPr>
          <w:p>
            <w:pPr>
              <w:pStyle w:val="22"/>
            </w:pPr>
            <w:r>
              <w:t>活动如期举行率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促进我市公共服务发展</w:t>
            </w:r>
          </w:p>
        </w:tc>
        <w:tc>
          <w:tcPr>
            <w:tcW w:w="3430" w:type="dxa"/>
            <w:vAlign w:val="center"/>
          </w:tcPr>
          <w:p>
            <w:pPr>
              <w:pStyle w:val="22"/>
            </w:pPr>
            <w:r>
              <w:t>促进我市公共服务发展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297"/>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.群众艺术馆运行经费绩效目标表</w:t>
      </w:r>
      <w:bookmarkEnd w:id="1"/>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群众艺术馆运行经费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309.90</w:t>
            </w:r>
          </w:p>
        </w:tc>
        <w:tc>
          <w:tcPr>
            <w:tcW w:w="1587" w:type="dxa"/>
            <w:vAlign w:val="center"/>
          </w:tcPr>
          <w:p>
            <w:pPr>
              <w:pStyle w:val="23"/>
            </w:pPr>
            <w:r>
              <w:t>其中：财政    资金</w:t>
            </w:r>
          </w:p>
        </w:tc>
        <w:tc>
          <w:tcPr>
            <w:tcW w:w="1843" w:type="dxa"/>
            <w:vAlign w:val="center"/>
          </w:tcPr>
          <w:p>
            <w:pPr>
              <w:pStyle w:val="22"/>
            </w:pPr>
            <w:r>
              <w:t>309.90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用于群众艺术馆运行支出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1.通过物业服务，使场馆整洁干净，为来馆活动人员营造良好活动环境；保障场馆正常运行。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物业服务面积</w:t>
            </w:r>
          </w:p>
        </w:tc>
        <w:tc>
          <w:tcPr>
            <w:tcW w:w="3430" w:type="dxa"/>
            <w:vAlign w:val="center"/>
          </w:tcPr>
          <w:p>
            <w:pPr>
              <w:pStyle w:val="22"/>
            </w:pPr>
            <w:r>
              <w:t>物业服务面积</w:t>
            </w:r>
          </w:p>
        </w:tc>
        <w:tc>
          <w:tcPr>
            <w:tcW w:w="2551" w:type="dxa"/>
            <w:vAlign w:val="center"/>
          </w:tcPr>
          <w:p>
            <w:pPr>
              <w:pStyle w:val="22"/>
            </w:pPr>
            <w:r>
              <w:t>≥1.1万平方米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物业服务达标率</w:t>
            </w:r>
          </w:p>
        </w:tc>
        <w:tc>
          <w:tcPr>
            <w:tcW w:w="3430" w:type="dxa"/>
            <w:vAlign w:val="center"/>
          </w:tcPr>
          <w:p>
            <w:pPr>
              <w:pStyle w:val="22"/>
            </w:pPr>
            <w:r>
              <w:t>物业服务达标率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重大群众性活动完成率</w:t>
            </w:r>
          </w:p>
        </w:tc>
        <w:tc>
          <w:tcPr>
            <w:tcW w:w="3430" w:type="dxa"/>
            <w:vAlign w:val="center"/>
          </w:tcPr>
          <w:p>
            <w:pPr>
              <w:pStyle w:val="22"/>
            </w:pPr>
            <w:r>
              <w:t>重大群众性活动完成率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物业服务周期</w:t>
            </w:r>
          </w:p>
        </w:tc>
        <w:tc>
          <w:tcPr>
            <w:tcW w:w="3430" w:type="dxa"/>
            <w:vAlign w:val="center"/>
          </w:tcPr>
          <w:p>
            <w:pPr>
              <w:pStyle w:val="22"/>
            </w:pPr>
            <w:r>
              <w:t>物业服务周期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场馆运行天数</w:t>
            </w:r>
          </w:p>
        </w:tc>
        <w:tc>
          <w:tcPr>
            <w:tcW w:w="3430" w:type="dxa"/>
            <w:vAlign w:val="center"/>
          </w:tcPr>
          <w:p>
            <w:pPr>
              <w:pStyle w:val="22"/>
            </w:pPr>
            <w:r>
              <w:t>场馆运行天数</w:t>
            </w:r>
          </w:p>
        </w:tc>
        <w:tc>
          <w:tcPr>
            <w:tcW w:w="2551" w:type="dxa"/>
            <w:vAlign w:val="center"/>
          </w:tcPr>
          <w:p>
            <w:pPr>
              <w:pStyle w:val="22"/>
            </w:pPr>
            <w:r>
              <w:t>≥360天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群众艺术馆运行经费</w:t>
            </w:r>
          </w:p>
        </w:tc>
        <w:tc>
          <w:tcPr>
            <w:tcW w:w="3430" w:type="dxa"/>
            <w:vAlign w:val="center"/>
          </w:tcPr>
          <w:p>
            <w:pPr>
              <w:pStyle w:val="22"/>
            </w:pPr>
            <w:r>
              <w:t>群众艺术馆运行经费</w:t>
            </w:r>
          </w:p>
        </w:tc>
        <w:tc>
          <w:tcPr>
            <w:tcW w:w="2551" w:type="dxa"/>
            <w:vAlign w:val="center"/>
          </w:tcPr>
          <w:p>
            <w:pPr>
              <w:pStyle w:val="22"/>
            </w:pPr>
            <w:r>
              <w:t>≤309.9万元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促进我市群众文化事业发展</w:t>
            </w:r>
          </w:p>
        </w:tc>
        <w:tc>
          <w:tcPr>
            <w:tcW w:w="3430" w:type="dxa"/>
            <w:vAlign w:val="center"/>
          </w:tcPr>
          <w:p>
            <w:pPr>
              <w:pStyle w:val="22"/>
            </w:pPr>
            <w:r>
              <w:t>促进我市群众文化事业发展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来馆群众满意度</w:t>
            </w:r>
          </w:p>
        </w:tc>
        <w:tc>
          <w:tcPr>
            <w:tcW w:w="3430" w:type="dxa"/>
            <w:vAlign w:val="center"/>
          </w:tcPr>
          <w:p>
            <w:pPr>
              <w:pStyle w:val="22"/>
            </w:pPr>
            <w:r>
              <w:t>来馆群众满意度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298"/>
      <w:r>
        <w:rPr>
          <w:rFonts w:ascii="方正仿宋_GBK" w:hAnsi="方正仿宋_GBK" w:eastAsia="方正仿宋_GBK" w:cs="方正仿宋_GBK"/>
          <w:sz w:val="28"/>
        </w:rPr>
        <w:t>3.天津公共文化云运维绩效目标表</w:t>
      </w:r>
      <w:bookmarkEnd w:id="2"/>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天津公共文化云运维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30.60</w:t>
            </w:r>
          </w:p>
        </w:tc>
        <w:tc>
          <w:tcPr>
            <w:tcW w:w="1587" w:type="dxa"/>
            <w:vAlign w:val="center"/>
          </w:tcPr>
          <w:p>
            <w:pPr>
              <w:pStyle w:val="23"/>
            </w:pPr>
            <w:r>
              <w:t>其中：财政    资金</w:t>
            </w:r>
          </w:p>
        </w:tc>
        <w:tc>
          <w:tcPr>
            <w:tcW w:w="1843" w:type="dxa"/>
            <w:vAlign w:val="center"/>
          </w:tcPr>
          <w:p>
            <w:pPr>
              <w:pStyle w:val="22"/>
            </w:pPr>
            <w:r>
              <w:t>30.60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用于天津公共文化云运维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天津市公共文化云运维项目保障天津公共文化云平台的安全可靠运行，既优化完善市群艺馆包括线上直播、需求征集、预约预定、点赞分享、线上数字资源浏览等公共数字服务，同时又可以有效的推进全民艺术知识普及、欣赏普及、技能普及和活动普及。</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软件维护数量</w:t>
            </w:r>
          </w:p>
        </w:tc>
        <w:tc>
          <w:tcPr>
            <w:tcW w:w="3430" w:type="dxa"/>
            <w:vAlign w:val="center"/>
          </w:tcPr>
          <w:p>
            <w:pPr>
              <w:pStyle w:val="22"/>
            </w:pPr>
            <w:r>
              <w:t>软件维护数量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≤10分钟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数据监测备份及分析及时率</w:t>
            </w:r>
          </w:p>
        </w:tc>
        <w:tc>
          <w:tcPr>
            <w:tcW w:w="3430" w:type="dxa"/>
            <w:vAlign w:val="center"/>
          </w:tcPr>
          <w:p>
            <w:pPr>
              <w:pStyle w:val="22"/>
            </w:pPr>
            <w:r>
              <w:t>数据监测备份及分析及时率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云服务使用费</w:t>
            </w:r>
          </w:p>
        </w:tc>
        <w:tc>
          <w:tcPr>
            <w:tcW w:w="3430" w:type="dxa"/>
            <w:vAlign w:val="center"/>
          </w:tcPr>
          <w:p>
            <w:pPr>
              <w:pStyle w:val="22"/>
            </w:pPr>
            <w:r>
              <w:t>云服务使用费</w:t>
            </w:r>
          </w:p>
        </w:tc>
        <w:tc>
          <w:tcPr>
            <w:tcW w:w="2551" w:type="dxa"/>
            <w:vAlign w:val="center"/>
          </w:tcPr>
          <w:p>
            <w:pPr>
              <w:pStyle w:val="22"/>
            </w:pPr>
            <w:r>
              <w:t>≤25.6万元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平台运维服务费</w:t>
            </w:r>
          </w:p>
        </w:tc>
        <w:tc>
          <w:tcPr>
            <w:tcW w:w="3430" w:type="dxa"/>
            <w:vAlign w:val="center"/>
          </w:tcPr>
          <w:p>
            <w:pPr>
              <w:pStyle w:val="22"/>
            </w:pPr>
            <w:r>
              <w:t>平台运维服务费</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推进全民艺术普及</w:t>
            </w:r>
          </w:p>
        </w:tc>
        <w:tc>
          <w:tcPr>
            <w:tcW w:w="3430" w:type="dxa"/>
            <w:vAlign w:val="center"/>
          </w:tcPr>
          <w:p>
            <w:pPr>
              <w:pStyle w:val="22"/>
            </w:pPr>
            <w:r>
              <w:t>推进全民艺术普及</w:t>
            </w:r>
          </w:p>
        </w:tc>
        <w:tc>
          <w:tcPr>
            <w:tcW w:w="2551" w:type="dxa"/>
            <w:vAlign w:val="center"/>
          </w:tcPr>
          <w:p>
            <w:pPr>
              <w:pStyle w:val="2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平台使用人员满意度</w:t>
            </w:r>
          </w:p>
        </w:tc>
        <w:tc>
          <w:tcPr>
            <w:tcW w:w="3430" w:type="dxa"/>
            <w:vAlign w:val="center"/>
          </w:tcPr>
          <w:p>
            <w:pPr>
              <w:pStyle w:val="22"/>
            </w:pPr>
            <w:r>
              <w:t>平台使用人员满意度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299"/>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.“春雨工程”天津市文化志愿者边疆行系列活动绩效目标表</w:t>
      </w:r>
      <w:bookmarkEnd w:id="3"/>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“春雨工程”天津市文化志愿者边疆行系列活动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春雨工程文化志愿服各项费用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春雨工程”天津市文化志愿者边疆行活动着力提升帮扶地区公共文化服务效能，促进天津与帮扶地区的文化交流合作，推进双方公共文化服务体系建设，不断丰富和活跃人民群众的精神文化生活，促进民族团结，达到交流、交往、交融。</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活动场次</w:t>
            </w:r>
          </w:p>
        </w:tc>
        <w:tc>
          <w:tcPr>
            <w:tcW w:w="3430" w:type="dxa"/>
            <w:vAlign w:val="center"/>
          </w:tcPr>
          <w:p>
            <w:pPr>
              <w:pStyle w:val="22"/>
            </w:pPr>
            <w:r>
              <w:t>活动场次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活动上座率</w:t>
            </w:r>
          </w:p>
        </w:tc>
        <w:tc>
          <w:tcPr>
            <w:tcW w:w="3430" w:type="dxa"/>
            <w:vAlign w:val="center"/>
          </w:tcPr>
          <w:p>
            <w:pPr>
              <w:pStyle w:val="22"/>
            </w:pPr>
            <w:r>
              <w:t xml:space="preserve"> 活动上座率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活动举办时间 </w:t>
            </w:r>
          </w:p>
        </w:tc>
        <w:tc>
          <w:tcPr>
            <w:tcW w:w="3430" w:type="dxa"/>
            <w:vAlign w:val="center"/>
          </w:tcPr>
          <w:p>
            <w:pPr>
              <w:pStyle w:val="22"/>
            </w:pPr>
            <w:r>
              <w:t xml:space="preserve">活动举办时间 </w:t>
            </w:r>
          </w:p>
        </w:tc>
        <w:tc>
          <w:tcPr>
            <w:tcW w:w="2551" w:type="dxa"/>
            <w:vAlign w:val="center"/>
          </w:tcPr>
          <w:p>
            <w:pPr>
              <w:pStyle w:val="22"/>
            </w:pPr>
            <w:r>
              <w:t>2024年10月底前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活动经费支出</w:t>
            </w:r>
          </w:p>
        </w:tc>
        <w:tc>
          <w:tcPr>
            <w:tcW w:w="3430" w:type="dxa"/>
            <w:vAlign w:val="center"/>
          </w:tcPr>
          <w:p>
            <w:pPr>
              <w:pStyle w:val="22"/>
            </w:pPr>
            <w:r>
              <w:t>活动经费支出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丰富当地基层群众文化生活 </w:t>
            </w:r>
          </w:p>
        </w:tc>
        <w:tc>
          <w:tcPr>
            <w:tcW w:w="3430" w:type="dxa"/>
            <w:vAlign w:val="center"/>
          </w:tcPr>
          <w:p>
            <w:pPr>
              <w:pStyle w:val="22"/>
            </w:pPr>
            <w:r>
              <w:t xml:space="preserve">丰富当地基层群众文化生活 </w:t>
            </w:r>
          </w:p>
        </w:tc>
        <w:tc>
          <w:tcPr>
            <w:tcW w:w="2551" w:type="dxa"/>
            <w:vAlign w:val="center"/>
          </w:tcPr>
          <w:p>
            <w:pPr>
              <w:pStyle w:val="22"/>
            </w:pPr>
            <w:r>
              <w:t>进一步丰富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30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.非财政拨款项目支出-2024文化馆服务宣传周系列活动绩效目标表</w:t>
      </w:r>
      <w:bookmarkEnd w:id="4"/>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非财政拨款项目支出-2024文化馆服务宣传周系列活动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用于文化馆服务宣传周活动支出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1.通过开展文化馆服务宣传周系列活动，繁荣群众文化事业，丰富人民精神世界，使城乡居民更好地参与文化活动，培育文艺技能，享受文化生活，激发文化热情，增强精神力量，提高社会文明程度。</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文化惠民演出活动场次</w:t>
            </w:r>
          </w:p>
        </w:tc>
        <w:tc>
          <w:tcPr>
            <w:tcW w:w="3430" w:type="dxa"/>
            <w:vAlign w:val="center"/>
          </w:tcPr>
          <w:p>
            <w:pPr>
              <w:pStyle w:val="22"/>
            </w:pPr>
            <w:r>
              <w:t>文化惠民演出活动场次</w:t>
            </w:r>
          </w:p>
        </w:tc>
        <w:tc>
          <w:tcPr>
            <w:tcW w:w="2551" w:type="dxa"/>
            <w:vAlign w:val="center"/>
          </w:tcPr>
          <w:p>
            <w:pPr>
              <w:pStyle w:val="2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演出时间</w:t>
            </w:r>
          </w:p>
        </w:tc>
        <w:tc>
          <w:tcPr>
            <w:tcW w:w="3430" w:type="dxa"/>
            <w:vAlign w:val="center"/>
          </w:tcPr>
          <w:p>
            <w:pPr>
              <w:pStyle w:val="22"/>
            </w:pPr>
            <w:r>
              <w:t>演出时间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w:t>
            </w:r>
          </w:p>
        </w:tc>
        <w:tc>
          <w:tcPr>
            <w:tcW w:w="3430" w:type="dxa"/>
            <w:vAlign w:val="center"/>
          </w:tcPr>
          <w:p>
            <w:pPr>
              <w:pStyle w:val="22"/>
            </w:pPr>
            <w:r>
              <w:t>活动经费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促进我市文化事业发展</w:t>
            </w:r>
          </w:p>
        </w:tc>
        <w:tc>
          <w:tcPr>
            <w:tcW w:w="3430" w:type="dxa"/>
            <w:vAlign w:val="center"/>
          </w:tcPr>
          <w:p>
            <w:pPr>
              <w:pStyle w:val="22"/>
            </w:pPr>
            <w:r>
              <w:t>促进我市文化事业发展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0301"/>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.非财政拨款项目支出-“歌唱祖国”主题歌咏系列活动绩效目标表</w:t>
      </w:r>
      <w:bookmarkEnd w:id="5"/>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非财政拨款项目支出-“歌唱祖国”主题歌咏系列活动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65.40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用于“歌唱祖国”主题歌咏系列活动支出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本次“歌唱祖国”大型歌咏活动不仅为观众们带来一场音乐的盛宴，还拉近节目与市民群众之间的距离，让市民群众沉浸在一场文艺盛宴之中。还将拓展多元演出形式，运用新媒体线下与线上相结合，扩大演出活动影响力，增强市民群众的参与和观看范围。</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演出时间</w:t>
            </w:r>
          </w:p>
        </w:tc>
        <w:tc>
          <w:tcPr>
            <w:tcW w:w="3430" w:type="dxa"/>
            <w:vAlign w:val="center"/>
          </w:tcPr>
          <w:p>
            <w:pPr>
              <w:pStyle w:val="22"/>
            </w:pPr>
            <w:r>
              <w:t>演出时间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w:t>
            </w:r>
          </w:p>
        </w:tc>
        <w:tc>
          <w:tcPr>
            <w:tcW w:w="3430" w:type="dxa"/>
            <w:vAlign w:val="center"/>
          </w:tcPr>
          <w:p>
            <w:pPr>
              <w:pStyle w:val="22"/>
            </w:pPr>
            <w:r>
              <w:t>活动经费</w:t>
            </w:r>
          </w:p>
        </w:tc>
        <w:tc>
          <w:tcPr>
            <w:tcW w:w="2551" w:type="dxa"/>
            <w:vAlign w:val="center"/>
          </w:tcPr>
          <w:p>
            <w:pPr>
              <w:pStyle w:val="22"/>
            </w:pPr>
            <w:r>
              <w:t>≤65.4万元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促进我市文化演出事业发展</w:t>
            </w:r>
          </w:p>
        </w:tc>
        <w:tc>
          <w:tcPr>
            <w:tcW w:w="3430" w:type="dxa"/>
            <w:vAlign w:val="center"/>
          </w:tcPr>
          <w:p>
            <w:pPr>
              <w:pStyle w:val="22"/>
            </w:pPr>
            <w:r>
              <w:t>促进我市文化演出事业发展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0302"/>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.非财政拨款项目支出-期刊交流展示及理论研讨活动绩效目标表</w:t>
      </w:r>
      <w:bookmarkEnd w:id="6"/>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非财政拨款项目支出-期刊交流展示及理论研讨活动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20.60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用于期刊交流展示和理论研讨活动支出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1.通过举办征文、培训、交流研讨、展览展示等活动，加强对群文理论、群众文学创作、人才队伍建设以及对馆办刊物提质增效，在构建公共文化服务体系中发挥重要作用。</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作品数量</w:t>
            </w:r>
          </w:p>
        </w:tc>
        <w:tc>
          <w:tcPr>
            <w:tcW w:w="3430" w:type="dxa"/>
            <w:vAlign w:val="center"/>
          </w:tcPr>
          <w:p>
            <w:pPr>
              <w:pStyle w:val="22"/>
            </w:pPr>
            <w:r>
              <w:t>作品数量</w:t>
            </w:r>
          </w:p>
        </w:tc>
        <w:tc>
          <w:tcPr>
            <w:tcW w:w="2551" w:type="dxa"/>
            <w:vAlign w:val="center"/>
          </w:tcPr>
          <w:p>
            <w:pPr>
              <w:pStyle w:val="22"/>
            </w:pPr>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刊物印刷达标率</w:t>
            </w:r>
          </w:p>
        </w:tc>
        <w:tc>
          <w:tcPr>
            <w:tcW w:w="3430" w:type="dxa"/>
            <w:vAlign w:val="center"/>
          </w:tcPr>
          <w:p>
            <w:pPr>
              <w:pStyle w:val="22"/>
            </w:pPr>
            <w:r>
              <w:t>刊物印刷达标率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活动相关经费</w:t>
            </w:r>
          </w:p>
        </w:tc>
        <w:tc>
          <w:tcPr>
            <w:tcW w:w="3430" w:type="dxa"/>
            <w:vAlign w:val="center"/>
          </w:tcPr>
          <w:p>
            <w:pPr>
              <w:pStyle w:val="22"/>
            </w:pPr>
            <w:r>
              <w:t>活动相关经费</w:t>
            </w:r>
          </w:p>
        </w:tc>
        <w:tc>
          <w:tcPr>
            <w:tcW w:w="2551" w:type="dxa"/>
            <w:vAlign w:val="center"/>
          </w:tcPr>
          <w:p>
            <w:pPr>
              <w:pStyle w:val="22"/>
            </w:pPr>
            <w:r>
              <w:t>≤20.6万元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促进理论水平、期刊质量提升及文学事业发展</w:t>
            </w:r>
          </w:p>
        </w:tc>
        <w:tc>
          <w:tcPr>
            <w:tcW w:w="3430" w:type="dxa"/>
            <w:vAlign w:val="center"/>
          </w:tcPr>
          <w:p>
            <w:pPr>
              <w:pStyle w:val="22"/>
            </w:pPr>
            <w:r>
              <w:t>促进理论水平、期刊质量提升及文学事业发展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参与活动对象满意度</w:t>
            </w:r>
          </w:p>
        </w:tc>
        <w:tc>
          <w:tcPr>
            <w:tcW w:w="3430" w:type="dxa"/>
            <w:vAlign w:val="center"/>
          </w:tcPr>
          <w:p>
            <w:pPr>
              <w:pStyle w:val="22"/>
            </w:pPr>
            <w:r>
              <w:t>参与活动对象满意度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0303"/>
      <w:r>
        <w:rPr>
          <w:rFonts w:hint="eastAsia" w:ascii="方正仿宋_GBK" w:hAnsi="方正仿宋_GBK" w:eastAsia="方正仿宋_GBK" w:cs="方正仿宋_GBK"/>
          <w:sz w:val="28"/>
          <w:lang w:eastAsia="zh-CN"/>
        </w:rPr>
        <w:t>８</w:t>
      </w:r>
      <w:r>
        <w:rPr>
          <w:rFonts w:ascii="方正仿宋_GBK" w:hAnsi="方正仿宋_GBK" w:eastAsia="方正仿宋_GBK" w:cs="方正仿宋_GBK"/>
          <w:sz w:val="28"/>
        </w:rPr>
        <w:t>.非财政拨款项目支出-天津市优秀群众文艺作品集中展演绩效目标表</w:t>
      </w:r>
      <w:bookmarkEnd w:id="7"/>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非财政拨款项目支出-天津市优秀群众文艺作品集中展演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35.50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35.50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用于优秀群众文艺作品集中展演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天津市优秀群众文艺作品集中展演，增强群众创作的广泛参与，激发鼓励我市创作人员和文艺团队的创作活力，挖掘选拔我市优秀的群众文艺作品，同时为第二十届全国群星奖天津地区选拔赛积累优秀群众文艺作品。</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演出次数</w:t>
            </w:r>
          </w:p>
        </w:tc>
        <w:tc>
          <w:tcPr>
            <w:tcW w:w="3430" w:type="dxa"/>
            <w:vAlign w:val="center"/>
          </w:tcPr>
          <w:p>
            <w:pPr>
              <w:pStyle w:val="22"/>
            </w:pPr>
            <w:r>
              <w:t>演出次数</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活动举行时间</w:t>
            </w:r>
          </w:p>
        </w:tc>
        <w:tc>
          <w:tcPr>
            <w:tcW w:w="3430" w:type="dxa"/>
            <w:vAlign w:val="center"/>
          </w:tcPr>
          <w:p>
            <w:pPr>
              <w:pStyle w:val="22"/>
            </w:pPr>
            <w:r>
              <w:t>活动举行时间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展演经费</w:t>
            </w:r>
          </w:p>
        </w:tc>
        <w:tc>
          <w:tcPr>
            <w:tcW w:w="3430" w:type="dxa"/>
            <w:vAlign w:val="center"/>
          </w:tcPr>
          <w:p>
            <w:pPr>
              <w:pStyle w:val="22"/>
            </w:pPr>
            <w:r>
              <w:t>展演经费</w:t>
            </w:r>
          </w:p>
        </w:tc>
        <w:tc>
          <w:tcPr>
            <w:tcW w:w="2551" w:type="dxa"/>
            <w:vAlign w:val="center"/>
          </w:tcPr>
          <w:p>
            <w:pPr>
              <w:pStyle w:val="22"/>
            </w:pPr>
            <w:r>
              <w:t>≤35.5万元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促进我市文化演出事业发展</w:t>
            </w:r>
          </w:p>
        </w:tc>
        <w:tc>
          <w:tcPr>
            <w:tcW w:w="3430" w:type="dxa"/>
            <w:vAlign w:val="center"/>
          </w:tcPr>
          <w:p>
            <w:pPr>
              <w:pStyle w:val="22"/>
            </w:pPr>
            <w:r>
              <w:t>促进我市文化演出事业发展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0304"/>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.公共文化云建设（2023年中央支持地方公共文化服务体系建设补助资金）-中央绩效目标表</w:t>
      </w:r>
      <w:bookmarkEnd w:id="8"/>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3"/>
        <w:gridCol w:w="1346"/>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公共文化云建设（2023年中央支持地方公共文化服务体系建设补助资金）-中央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573" w:type="dxa"/>
            <w:vAlign w:val="center"/>
          </w:tcPr>
          <w:p>
            <w:pPr>
              <w:pStyle w:val="22"/>
            </w:pPr>
            <w:r>
              <w:t>141.79</w:t>
            </w:r>
          </w:p>
        </w:tc>
        <w:tc>
          <w:tcPr>
            <w:tcW w:w="1346" w:type="dxa"/>
            <w:vAlign w:val="center"/>
          </w:tcPr>
          <w:p>
            <w:pPr>
              <w:pStyle w:val="23"/>
            </w:pPr>
            <w:r>
              <w:t>其中：财政    资金</w:t>
            </w:r>
          </w:p>
        </w:tc>
        <w:tc>
          <w:tcPr>
            <w:tcW w:w="1843" w:type="dxa"/>
            <w:vAlign w:val="center"/>
          </w:tcPr>
          <w:p>
            <w:pPr>
              <w:pStyle w:val="22"/>
            </w:pPr>
            <w:r>
              <w:t>141.79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支付公共文化云建设尾款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全民艺术普及相关直录播、区域和地方性群众文化活动、学才艺培训、采集场馆及其活动信息、建设赶大集专区、建设或优化艺术普及数字资源，可进一步推进公共文化服务体系建设，提升公共文化服务效能，充分发挥群艺馆在繁荣文艺工作中的重要作用，实现全民艺术普及线上线下有效联动，提升市群艺馆数字化、网络化、智能化服务，努力为人民群众提供更高质量、更有效率、更可持续的公共文化服务，丰富人民群众的精神文化生活，提升文化获得感、幸福感。</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3"/>
        <w:gridCol w:w="3189"/>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573" w:type="dxa"/>
            <w:vAlign w:val="center"/>
          </w:tcPr>
          <w:p>
            <w:pPr>
              <w:pStyle w:val="23"/>
            </w:pPr>
            <w:r>
              <w:t>三级指标</w:t>
            </w:r>
          </w:p>
        </w:tc>
        <w:tc>
          <w:tcPr>
            <w:tcW w:w="3189"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573" w:type="dxa"/>
            <w:vAlign w:val="center"/>
          </w:tcPr>
          <w:p>
            <w:pPr>
              <w:pStyle w:val="22"/>
            </w:pPr>
            <w:r>
              <w:t>公共文化云开展全面艺术普及相关直录播场次</w:t>
            </w:r>
          </w:p>
        </w:tc>
        <w:tc>
          <w:tcPr>
            <w:tcW w:w="3189" w:type="dxa"/>
            <w:vAlign w:val="center"/>
          </w:tcPr>
          <w:p>
            <w:pPr>
              <w:pStyle w:val="22"/>
            </w:pPr>
            <w:r>
              <w:t>公共文化云开展全面艺术普及相关直录播场次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573" w:type="dxa"/>
            <w:vAlign w:val="center"/>
          </w:tcPr>
          <w:p>
            <w:pPr>
              <w:pStyle w:val="22"/>
            </w:pPr>
            <w:r>
              <w:t>公共文化云建设验收合格率</w:t>
            </w:r>
          </w:p>
        </w:tc>
        <w:tc>
          <w:tcPr>
            <w:tcW w:w="3189" w:type="dxa"/>
            <w:vAlign w:val="center"/>
          </w:tcPr>
          <w:p>
            <w:pPr>
              <w:pStyle w:val="22"/>
            </w:pPr>
            <w:r>
              <w:t>公共文化云建设验收合格率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573" w:type="dxa"/>
            <w:vAlign w:val="center"/>
          </w:tcPr>
          <w:p>
            <w:pPr>
              <w:pStyle w:val="22"/>
            </w:pPr>
            <w:r>
              <w:t>公共文化云建设完成时间</w:t>
            </w:r>
          </w:p>
        </w:tc>
        <w:tc>
          <w:tcPr>
            <w:tcW w:w="3189" w:type="dxa"/>
            <w:vAlign w:val="center"/>
          </w:tcPr>
          <w:p>
            <w:pPr>
              <w:pStyle w:val="22"/>
            </w:pPr>
            <w:r>
              <w:t>公共文化云建设完成时间</w:t>
            </w:r>
          </w:p>
        </w:tc>
        <w:tc>
          <w:tcPr>
            <w:tcW w:w="2551" w:type="dxa"/>
            <w:vAlign w:val="center"/>
          </w:tcPr>
          <w:p>
            <w:pPr>
              <w:pStyle w:val="22"/>
            </w:pPr>
            <w:r>
              <w:t>2024年6月底前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573" w:type="dxa"/>
            <w:vAlign w:val="center"/>
          </w:tcPr>
          <w:p>
            <w:pPr>
              <w:pStyle w:val="22"/>
            </w:pPr>
            <w:r>
              <w:t>公共文化云建设费用</w:t>
            </w:r>
          </w:p>
        </w:tc>
        <w:tc>
          <w:tcPr>
            <w:tcW w:w="3189" w:type="dxa"/>
            <w:vAlign w:val="center"/>
          </w:tcPr>
          <w:p>
            <w:pPr>
              <w:pStyle w:val="22"/>
            </w:pPr>
            <w:r>
              <w:t>公共文化云建设费用</w:t>
            </w:r>
          </w:p>
        </w:tc>
        <w:tc>
          <w:tcPr>
            <w:tcW w:w="2551" w:type="dxa"/>
            <w:vAlign w:val="center"/>
          </w:tcPr>
          <w:p>
            <w:pPr>
              <w:pStyle w:val="22"/>
            </w:pPr>
            <w:r>
              <w:t>≤141.8万元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573" w:type="dxa"/>
            <w:vAlign w:val="center"/>
          </w:tcPr>
          <w:p>
            <w:pPr>
              <w:pStyle w:val="22"/>
            </w:pPr>
            <w:r>
              <w:t>丰富人民群众精神文化生活</w:t>
            </w:r>
          </w:p>
        </w:tc>
        <w:tc>
          <w:tcPr>
            <w:tcW w:w="3189" w:type="dxa"/>
            <w:vAlign w:val="center"/>
          </w:tcPr>
          <w:p>
            <w:pPr>
              <w:pStyle w:val="22"/>
            </w:pPr>
            <w:r>
              <w:t>丰富人民群众精神文化生活</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573" w:type="dxa"/>
            <w:vAlign w:val="center"/>
          </w:tcPr>
          <w:p>
            <w:pPr>
              <w:pStyle w:val="22"/>
            </w:pPr>
            <w:r>
              <w:t>培育和践行</w:t>
            </w:r>
            <w:r>
              <w:rPr>
                <w:rFonts w:hint="eastAsia"/>
                <w:lang w:eastAsia="zh-CN"/>
              </w:rPr>
              <w:t>社会主义</w:t>
            </w:r>
            <w:r>
              <w:t>核心价值观</w:t>
            </w:r>
          </w:p>
        </w:tc>
        <w:tc>
          <w:tcPr>
            <w:tcW w:w="3189" w:type="dxa"/>
            <w:vAlign w:val="center"/>
          </w:tcPr>
          <w:p>
            <w:pPr>
              <w:pStyle w:val="22"/>
            </w:pPr>
            <w:r>
              <w:t>培育和践行</w:t>
            </w:r>
            <w:r>
              <w:rPr>
                <w:rFonts w:hint="eastAsia"/>
                <w:lang w:eastAsia="zh-CN"/>
              </w:rPr>
              <w:t>社会主义</w:t>
            </w:r>
            <w:r>
              <w:t>核心价值观</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573" w:type="dxa"/>
            <w:vAlign w:val="center"/>
          </w:tcPr>
          <w:p>
            <w:pPr>
              <w:pStyle w:val="22"/>
            </w:pPr>
            <w:r>
              <w:t>群众对国家基本公共文化服务满意度</w:t>
            </w:r>
          </w:p>
        </w:tc>
        <w:tc>
          <w:tcPr>
            <w:tcW w:w="3189" w:type="dxa"/>
            <w:vAlign w:val="center"/>
          </w:tcPr>
          <w:p>
            <w:pPr>
              <w:pStyle w:val="22"/>
            </w:pPr>
            <w:r>
              <w:t>群众对国家基本公共文化服务满意度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0305"/>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.公共文化云建设（2024年中央支持地方公共文化服务体系建设补助资金）-中央绩效目标表</w:t>
      </w:r>
      <w:bookmarkEnd w:id="9"/>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公共文化云建设（2024年中央支持地方公共文化服务体系建设补助资金）-中央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359.00</w:t>
            </w:r>
          </w:p>
        </w:tc>
        <w:tc>
          <w:tcPr>
            <w:tcW w:w="1587" w:type="dxa"/>
            <w:vAlign w:val="center"/>
          </w:tcPr>
          <w:p>
            <w:pPr>
              <w:pStyle w:val="23"/>
            </w:pPr>
            <w:r>
              <w:t>其中：财政    资金</w:t>
            </w:r>
          </w:p>
        </w:tc>
        <w:tc>
          <w:tcPr>
            <w:tcW w:w="1843" w:type="dxa"/>
            <w:vAlign w:val="center"/>
          </w:tcPr>
          <w:p>
            <w:pPr>
              <w:pStyle w:val="22"/>
            </w:pPr>
            <w:r>
              <w:t>359.00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公共文化云建设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全民艺术普及相关直录播、区域和地方性群众文化活动、学才艺培训、采集场馆及其活动信息、建设赶大集专区、建设或优化艺术普及数字资源，可进一步推进公共文化服务体系建设，提升公共文化服务效能，推动文化事业高质量发展，充分发挥群艺馆在繁荣文艺工作中的重要作用，实现全民艺术普及线上线下有效联动，提升市群艺馆数字化、网络化、智能化服务，努力为人民群众提供更高质量、更有效率、更可持续的公共文化服务，满足人民群众对文化的需要，提升文化获得感、幸福感。</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公共文化云开展全面艺术普及相关直播场次</w:t>
            </w:r>
          </w:p>
        </w:tc>
        <w:tc>
          <w:tcPr>
            <w:tcW w:w="3430" w:type="dxa"/>
            <w:vAlign w:val="center"/>
          </w:tcPr>
          <w:p>
            <w:pPr>
              <w:pStyle w:val="22"/>
            </w:pPr>
            <w:r>
              <w:t>公共文化云开展全面艺术普及相关直播场次</w:t>
            </w:r>
          </w:p>
        </w:tc>
        <w:tc>
          <w:tcPr>
            <w:tcW w:w="2551" w:type="dxa"/>
            <w:vAlign w:val="center"/>
          </w:tcPr>
          <w:p>
            <w:pPr>
              <w:pStyle w:val="22"/>
            </w:pPr>
            <w:r>
              <w:t>≥15场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区域和地方性群众文化活动数量</w:t>
            </w:r>
          </w:p>
        </w:tc>
        <w:tc>
          <w:tcPr>
            <w:tcW w:w="3430" w:type="dxa"/>
            <w:vAlign w:val="center"/>
          </w:tcPr>
          <w:p>
            <w:pPr>
              <w:pStyle w:val="22"/>
            </w:pPr>
            <w:r>
              <w:t>区域和地方性群众文化活动数量</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学才艺课程数量</w:t>
            </w:r>
          </w:p>
        </w:tc>
        <w:tc>
          <w:tcPr>
            <w:tcW w:w="3430" w:type="dxa"/>
            <w:vAlign w:val="center"/>
          </w:tcPr>
          <w:p>
            <w:pPr>
              <w:pStyle w:val="22"/>
            </w:pPr>
            <w:r>
              <w:t>学才艺课程数量</w:t>
            </w:r>
          </w:p>
        </w:tc>
        <w:tc>
          <w:tcPr>
            <w:tcW w:w="2551" w:type="dxa"/>
            <w:vAlign w:val="center"/>
          </w:tcPr>
          <w:p>
            <w:pPr>
              <w:pStyle w:val="2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采集场馆及其培训活动信息</w:t>
            </w:r>
          </w:p>
        </w:tc>
        <w:tc>
          <w:tcPr>
            <w:tcW w:w="3430" w:type="dxa"/>
            <w:vAlign w:val="center"/>
          </w:tcPr>
          <w:p>
            <w:pPr>
              <w:pStyle w:val="22"/>
            </w:pPr>
            <w:r>
              <w:t>采集场馆及其培训活动信息</w:t>
            </w:r>
          </w:p>
        </w:tc>
        <w:tc>
          <w:tcPr>
            <w:tcW w:w="2551" w:type="dxa"/>
            <w:vAlign w:val="center"/>
          </w:tcPr>
          <w:p>
            <w:pPr>
              <w:pStyle w:val="22"/>
            </w:pPr>
            <w:r>
              <w:t>≥3000条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赶大集专区建设数量</w:t>
            </w:r>
          </w:p>
        </w:tc>
        <w:tc>
          <w:tcPr>
            <w:tcW w:w="3430" w:type="dxa"/>
            <w:vAlign w:val="center"/>
          </w:tcPr>
          <w:p>
            <w:pPr>
              <w:pStyle w:val="22"/>
            </w:pPr>
            <w:r>
              <w:t>赶大集专区建设数量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建设或优化艺术普及数字资源时长</w:t>
            </w:r>
          </w:p>
        </w:tc>
        <w:tc>
          <w:tcPr>
            <w:tcW w:w="3430" w:type="dxa"/>
            <w:vAlign w:val="center"/>
          </w:tcPr>
          <w:p>
            <w:pPr>
              <w:pStyle w:val="22"/>
            </w:pPr>
            <w:r>
              <w:t>建设或优化艺术普及数字资源时长</w:t>
            </w:r>
          </w:p>
        </w:tc>
        <w:tc>
          <w:tcPr>
            <w:tcW w:w="2551" w:type="dxa"/>
            <w:vAlign w:val="center"/>
          </w:tcPr>
          <w:p>
            <w:pPr>
              <w:pStyle w:val="22"/>
            </w:pPr>
            <w:r>
              <w:t>≥9小时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公共文化云建设验收合格率</w:t>
            </w:r>
          </w:p>
        </w:tc>
        <w:tc>
          <w:tcPr>
            <w:tcW w:w="3430" w:type="dxa"/>
            <w:vAlign w:val="center"/>
          </w:tcPr>
          <w:p>
            <w:pPr>
              <w:pStyle w:val="22"/>
            </w:pPr>
            <w:r>
              <w:t>公共文化云建设验收合格率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公共文化云项目年度重点任务完成率</w:t>
            </w:r>
          </w:p>
        </w:tc>
        <w:tc>
          <w:tcPr>
            <w:tcW w:w="3430" w:type="dxa"/>
            <w:vAlign w:val="center"/>
          </w:tcPr>
          <w:p>
            <w:pPr>
              <w:pStyle w:val="22"/>
            </w:pPr>
            <w:r>
              <w:t>公共文化云项目年度重点任务完成率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公共文化云建设完成时间</w:t>
            </w:r>
          </w:p>
        </w:tc>
        <w:tc>
          <w:tcPr>
            <w:tcW w:w="3430" w:type="dxa"/>
            <w:vAlign w:val="center"/>
          </w:tcPr>
          <w:p>
            <w:pPr>
              <w:pStyle w:val="22"/>
            </w:pPr>
            <w:r>
              <w:t>公共文化云建设完成时间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公共文化云建设费用</w:t>
            </w:r>
          </w:p>
        </w:tc>
        <w:tc>
          <w:tcPr>
            <w:tcW w:w="3430" w:type="dxa"/>
            <w:vAlign w:val="center"/>
          </w:tcPr>
          <w:p>
            <w:pPr>
              <w:pStyle w:val="22"/>
            </w:pPr>
            <w:r>
              <w:t>公共文化云建设费用</w:t>
            </w:r>
          </w:p>
        </w:tc>
        <w:tc>
          <w:tcPr>
            <w:tcW w:w="2551" w:type="dxa"/>
            <w:vAlign w:val="center"/>
          </w:tcPr>
          <w:p>
            <w:pPr>
              <w:pStyle w:val="22"/>
            </w:pPr>
            <w:r>
              <w:t>≤359万元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培育和践行</w:t>
            </w:r>
            <w:r>
              <w:rPr>
                <w:rFonts w:hint="eastAsia"/>
                <w:lang w:eastAsia="zh-CN"/>
              </w:rPr>
              <w:t>社会主义</w:t>
            </w:r>
            <w:r>
              <w:t>核心价值观</w:t>
            </w:r>
          </w:p>
        </w:tc>
        <w:tc>
          <w:tcPr>
            <w:tcW w:w="3430" w:type="dxa"/>
            <w:vAlign w:val="center"/>
          </w:tcPr>
          <w:p>
            <w:pPr>
              <w:pStyle w:val="22"/>
            </w:pPr>
            <w:r>
              <w:t>培育和践行</w:t>
            </w:r>
            <w:r>
              <w:rPr>
                <w:rFonts w:hint="eastAsia"/>
                <w:lang w:eastAsia="zh-CN"/>
              </w:rPr>
              <w:t>社会主义</w:t>
            </w:r>
            <w:bookmarkStart w:id="12" w:name="_GoBack"/>
            <w:bookmarkEnd w:id="12"/>
            <w:r>
              <w:t>核心价值观</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公共数字文化服务人次增长率</w:t>
            </w:r>
          </w:p>
        </w:tc>
        <w:tc>
          <w:tcPr>
            <w:tcW w:w="3430" w:type="dxa"/>
            <w:vAlign w:val="center"/>
          </w:tcPr>
          <w:p>
            <w:pPr>
              <w:pStyle w:val="22"/>
            </w:pPr>
            <w:r>
              <w:t>公共数字文化服务人次增长率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群众对国家基本公共文化服务满意度</w:t>
            </w:r>
          </w:p>
        </w:tc>
        <w:tc>
          <w:tcPr>
            <w:tcW w:w="3430" w:type="dxa"/>
            <w:vAlign w:val="center"/>
          </w:tcPr>
          <w:p>
            <w:pPr>
              <w:pStyle w:val="22"/>
            </w:pPr>
            <w:r>
              <w:t>群众对国家基本公共文化服务满意度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030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.天津市第九届市民文化艺术节系列活动绩效目标表</w:t>
      </w:r>
      <w:bookmarkEnd w:id="10"/>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天津市第九届市民文化艺术节系列活动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w:t>
            </w:r>
          </w:p>
        </w:tc>
        <w:tc>
          <w:tcPr>
            <w:tcW w:w="1587" w:type="dxa"/>
            <w:vAlign w:val="center"/>
          </w:tcPr>
          <w:p>
            <w:pPr>
              <w:pStyle w:val="23"/>
            </w:pPr>
            <w:r>
              <w:t>其中：财政    资金</w:t>
            </w:r>
          </w:p>
        </w:tc>
        <w:tc>
          <w:tcPr>
            <w:tcW w:w="1843" w:type="dxa"/>
            <w:vAlign w:val="center"/>
          </w:tcPr>
          <w:p>
            <w:pPr>
              <w:pStyle w:val="22"/>
            </w:pPr>
            <w:r>
              <w:t>180.00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用于市民艺术节系列活动的各项支出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市民艺术节系列活动，贯彻落实京津冀协同发展国家战略，推进区域文化交流，丰富百姓群众精神文化生活，推进本市群众文化事业高质量发展，推动群众文化发展成果更多、更好地惠及到广大百姓群众。</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举办活动项目数</w:t>
            </w:r>
          </w:p>
        </w:tc>
        <w:tc>
          <w:tcPr>
            <w:tcW w:w="3430" w:type="dxa"/>
            <w:vAlign w:val="center"/>
          </w:tcPr>
          <w:p>
            <w:pPr>
              <w:pStyle w:val="22"/>
            </w:pPr>
            <w:r>
              <w:t>举办活动项目数</w:t>
            </w:r>
          </w:p>
        </w:tc>
        <w:tc>
          <w:tcPr>
            <w:tcW w:w="2551" w:type="dxa"/>
            <w:vAlign w:val="center"/>
          </w:tcPr>
          <w:p>
            <w:pPr>
              <w:pStyle w:val="22"/>
            </w:pPr>
            <w:r>
              <w:t>≥11项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直录播场次数</w:t>
            </w:r>
          </w:p>
        </w:tc>
        <w:tc>
          <w:tcPr>
            <w:tcW w:w="3430" w:type="dxa"/>
            <w:vAlign w:val="center"/>
          </w:tcPr>
          <w:p>
            <w:pPr>
              <w:pStyle w:val="22"/>
            </w:pPr>
            <w:r>
              <w:t>直录播场次数</w:t>
            </w:r>
          </w:p>
        </w:tc>
        <w:tc>
          <w:tcPr>
            <w:tcW w:w="2551" w:type="dxa"/>
            <w:vAlign w:val="center"/>
          </w:tcPr>
          <w:p>
            <w:pPr>
              <w:pStyle w:val="22"/>
            </w:pPr>
            <w:r>
              <w:t>≥11场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参加活动人次（线上/线下）</w:t>
            </w:r>
          </w:p>
        </w:tc>
        <w:tc>
          <w:tcPr>
            <w:tcW w:w="3430" w:type="dxa"/>
            <w:vAlign w:val="center"/>
          </w:tcPr>
          <w:p>
            <w:pPr>
              <w:pStyle w:val="22"/>
            </w:pPr>
            <w:r>
              <w:t>参加活动人次（线上/线下）</w:t>
            </w:r>
          </w:p>
        </w:tc>
        <w:tc>
          <w:tcPr>
            <w:tcW w:w="2551" w:type="dxa"/>
            <w:vAlign w:val="center"/>
          </w:tcPr>
          <w:p>
            <w:pPr>
              <w:pStyle w:val="22"/>
            </w:pPr>
            <w:r>
              <w:t>≥1150万人次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设施正常使用率</w:t>
            </w:r>
          </w:p>
        </w:tc>
        <w:tc>
          <w:tcPr>
            <w:tcW w:w="3430" w:type="dxa"/>
            <w:vAlign w:val="center"/>
          </w:tcPr>
          <w:p>
            <w:pPr>
              <w:pStyle w:val="22"/>
            </w:pPr>
            <w:r>
              <w:t>设施正常使用率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举办活动经费</w:t>
            </w:r>
          </w:p>
        </w:tc>
        <w:tc>
          <w:tcPr>
            <w:tcW w:w="3430" w:type="dxa"/>
            <w:vAlign w:val="center"/>
          </w:tcPr>
          <w:p>
            <w:pPr>
              <w:pStyle w:val="22"/>
            </w:pPr>
            <w:r>
              <w:t>举办活动经费</w:t>
            </w:r>
          </w:p>
        </w:tc>
        <w:tc>
          <w:tcPr>
            <w:tcW w:w="2551" w:type="dxa"/>
            <w:vAlign w:val="center"/>
          </w:tcPr>
          <w:p>
            <w:pPr>
              <w:pStyle w:val="2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促进我市现代化公共文化服务体系高质量发展</w:t>
            </w:r>
          </w:p>
        </w:tc>
        <w:tc>
          <w:tcPr>
            <w:tcW w:w="3430" w:type="dxa"/>
            <w:vAlign w:val="center"/>
          </w:tcPr>
          <w:p>
            <w:pPr>
              <w:pStyle w:val="22"/>
            </w:pPr>
            <w:r>
              <w:t>促进我市现代化公共文化服务体系高质量发展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030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.天津市群众艺术馆网络升级改造绩效目标表</w:t>
      </w:r>
      <w:bookmarkEnd w:id="11"/>
    </w:p>
    <w:tbl>
      <w:tblPr>
        <w:tblStyle w:val="13"/>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天津市群众艺术馆网络升级改造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21.00</w:t>
            </w:r>
          </w:p>
        </w:tc>
        <w:tc>
          <w:tcPr>
            <w:tcW w:w="1587" w:type="dxa"/>
            <w:vAlign w:val="center"/>
          </w:tcPr>
          <w:p>
            <w:pPr>
              <w:pStyle w:val="23"/>
            </w:pPr>
            <w:r>
              <w:t>其中：财政    资金</w:t>
            </w:r>
          </w:p>
        </w:tc>
        <w:tc>
          <w:tcPr>
            <w:tcW w:w="1843" w:type="dxa"/>
            <w:vAlign w:val="center"/>
          </w:tcPr>
          <w:p>
            <w:pPr>
              <w:pStyle w:val="22"/>
            </w:pPr>
            <w:r>
              <w:t>21.00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用于网络升级改造支出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本次网络的升级改造也可提升本馆对馆内惠民活动直播的稳定性，为市民提供更好的公共数字化服务。同时既能保障本馆的网络安全、信息安全、上网安全，同时又满足第五次全国文化馆评估要求，满足本馆无线网络全覆盖。</w:t>
            </w:r>
          </w:p>
        </w:tc>
      </w:tr>
    </w:tbl>
    <w:p>
      <w:pPr>
        <w:spacing w:line="2" w:lineRule="exact"/>
        <w:jc w:val="center"/>
      </w:pPr>
      <w:r>
        <w:rPr>
          <w:rFonts w:ascii="方正书宋_GBK" w:hAnsi="方正书宋_GBK" w:eastAsia="方正书宋_GBK" w:cs="方正书宋_GBK"/>
          <w:sz w:val="21"/>
        </w:rPr>
        <w:t xml:space="preserve"> </w:t>
      </w:r>
    </w:p>
    <w:tbl>
      <w:tblPr>
        <w:tblStyle w:val="13"/>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硬件采购（维护）数量</w:t>
            </w:r>
          </w:p>
        </w:tc>
        <w:tc>
          <w:tcPr>
            <w:tcW w:w="3430" w:type="dxa"/>
            <w:vAlign w:val="center"/>
          </w:tcPr>
          <w:p>
            <w:pPr>
              <w:pStyle w:val="22"/>
            </w:pPr>
            <w:r>
              <w:t>硬件采购（维护）数量</w:t>
            </w:r>
          </w:p>
        </w:tc>
        <w:tc>
          <w:tcPr>
            <w:tcW w:w="2551" w:type="dxa"/>
            <w:vAlign w:val="center"/>
          </w:tcPr>
          <w:p>
            <w:pPr>
              <w:pStyle w:val="22"/>
            </w:pPr>
            <w:r>
              <w:t>≥94台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≤10分钟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网络改造设备采购费</w:t>
            </w:r>
          </w:p>
        </w:tc>
        <w:tc>
          <w:tcPr>
            <w:tcW w:w="3430" w:type="dxa"/>
            <w:vAlign w:val="center"/>
          </w:tcPr>
          <w:p>
            <w:pPr>
              <w:pStyle w:val="22"/>
            </w:pPr>
            <w:r>
              <w:t>网络改造设备采购费</w:t>
            </w:r>
          </w:p>
        </w:tc>
        <w:tc>
          <w:tcPr>
            <w:tcW w:w="2551" w:type="dxa"/>
            <w:vAlign w:val="center"/>
          </w:tcPr>
          <w:p>
            <w:pPr>
              <w:pStyle w:val="22"/>
            </w:pPr>
            <w:r>
              <w:t>≤18.4万元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网络改造耗材采购费</w:t>
            </w:r>
          </w:p>
        </w:tc>
        <w:tc>
          <w:tcPr>
            <w:tcW w:w="3430" w:type="dxa"/>
            <w:vAlign w:val="center"/>
          </w:tcPr>
          <w:p>
            <w:pPr>
              <w:pStyle w:val="22"/>
            </w:pPr>
            <w:r>
              <w:t>网络改造耗材采购费</w:t>
            </w:r>
          </w:p>
        </w:tc>
        <w:tc>
          <w:tcPr>
            <w:tcW w:w="2551" w:type="dxa"/>
            <w:vAlign w:val="center"/>
          </w:tcPr>
          <w:p>
            <w:pPr>
              <w:pStyle w:val="2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网络改造安装调测费</w:t>
            </w:r>
          </w:p>
        </w:tc>
        <w:tc>
          <w:tcPr>
            <w:tcW w:w="3430" w:type="dxa"/>
            <w:vAlign w:val="center"/>
          </w:tcPr>
          <w:p>
            <w:pPr>
              <w:pStyle w:val="22"/>
            </w:pPr>
            <w:r>
              <w:t>网络改造安装调测费</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提升本单位公共数字文化服务能力</w:t>
            </w:r>
          </w:p>
        </w:tc>
        <w:tc>
          <w:tcPr>
            <w:tcW w:w="3430" w:type="dxa"/>
            <w:vAlign w:val="center"/>
          </w:tcPr>
          <w:p>
            <w:pPr>
              <w:pStyle w:val="22"/>
            </w:pPr>
            <w:r>
              <w:t>提升本单位公共数字文化服务能力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网络使用人员满意度</w:t>
            </w:r>
          </w:p>
        </w:tc>
        <w:tc>
          <w:tcPr>
            <w:tcW w:w="3430" w:type="dxa"/>
            <w:vAlign w:val="center"/>
          </w:tcPr>
          <w:p>
            <w:pPr>
              <w:pStyle w:val="22"/>
            </w:pPr>
            <w:r>
              <w:t>网络使用人员满意度</w:t>
            </w:r>
          </w:p>
        </w:tc>
        <w:tc>
          <w:tcPr>
            <w:tcW w:w="2551" w:type="dxa"/>
            <w:vAlign w:val="center"/>
          </w:tcPr>
          <w:p>
            <w:pPr>
              <w:pStyle w:val="22"/>
            </w:pPr>
            <w:r>
              <w:t>≥95%</w:t>
            </w:r>
          </w:p>
        </w:tc>
      </w:tr>
    </w:tbl>
    <w:p>
      <w:pPr>
        <w:jc w:val="center"/>
      </w:pPr>
      <w:r>
        <w:rPr>
          <w:rFonts w:ascii="方正仿宋_GBK" w:hAnsi="方正仿宋_GBK" w:eastAsia="方正仿宋_GBK" w:cs="方正仿宋_GBK"/>
          <w:sz w:val="28"/>
        </w:rPr>
        <w:t xml:space="preserve"> </w:t>
      </w: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ZWM3OWYzMDc0ZWVmZTJkNjZkNGU0MDM4Yzk3MTMifQ=="/>
  </w:docVars>
  <w:rsids>
    <w:rsidRoot w:val="00DD71FF"/>
    <w:rsid w:val="009E4EC6"/>
    <w:rsid w:val="00D919D0"/>
    <w:rsid w:val="00DD71FF"/>
    <w:rsid w:val="037B196F"/>
    <w:rsid w:val="07AC1D64"/>
    <w:rsid w:val="1B4072CF"/>
    <w:rsid w:val="1C49091E"/>
    <w:rsid w:val="30800AD4"/>
    <w:rsid w:val="31C92F61"/>
    <w:rsid w:val="35956011"/>
    <w:rsid w:val="371F2036"/>
    <w:rsid w:val="555547EA"/>
    <w:rsid w:val="55CC1183"/>
    <w:rsid w:val="7ADD3367"/>
    <w:rsid w:val="EDED8756"/>
    <w:rsid w:val="FFE59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5"/>
    <w:link w:val="7"/>
    <w:qFormat/>
    <w:uiPriority w:val="99"/>
    <w:rPr>
      <w:rFonts w:eastAsia="Times New Roman"/>
      <w:sz w:val="18"/>
      <w:szCs w:val="18"/>
      <w:lang w:eastAsia="uk-UA"/>
    </w:rPr>
  </w:style>
  <w:style w:type="character" w:customStyle="1" w:styleId="26">
    <w:name w:val="页脚 Char"/>
    <w:basedOn w:val="15"/>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26832</Words>
  <Characters>152944</Characters>
  <Lines>1274</Lines>
  <Paragraphs>358</Paragraphs>
  <TotalTime>7</TotalTime>
  <ScaleCrop>false</ScaleCrop>
  <LinksUpToDate>false</LinksUpToDate>
  <CharactersWithSpaces>179418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2024-02-02T07:09:00Z</dcterms:created>
  <dc:creator>zhaoj_9mn0uk2</dc:creator>
  <cp:lastModifiedBy>PC-102</cp:lastModifiedBy>
  <cp:lastPrinted>2024-02-21T17:49:00Z</cp:lastPrinted>
  <dcterms:modified xsi:type="dcterms:W3CDTF">2024-07-26T01:41:31Z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46F29637E86C4908BEFC99CF88C0FF0D_13</vt:lpwstr>
  </property>
</Properties>
</file>